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ПАРТНЕРСКИЙ ДОГОВОР</w:t>
      </w:r>
    </w:p>
    <w:p w:rsidR="00000000" w:rsidDel="00000000" w:rsidP="00000000" w:rsidRDefault="00000000" w:rsidRPr="00000000" w14:paraId="0000000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привлечение перевозчиков № ТТЛ - ___ (далее – Договор)</w:t>
      </w:r>
    </w:p>
    <w:p w:rsidR="00000000" w:rsidDel="00000000" w:rsidP="00000000" w:rsidRDefault="00000000" w:rsidRPr="00000000" w14:paraId="00000003">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г. Москва</w:t>
        <w:tab/>
        <w:tab/>
        <w:tab/>
        <w:tab/>
        <w:tab/>
        <w:tab/>
        <w:tab/>
        <w:tab/>
        <w:t xml:space="preserve">       «__» ____________2023 г.</w:t>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tabs>
          <w:tab w:val="left" w:leader="none" w:pos="180"/>
          <w:tab w:val="left" w:leader="none" w:pos="900"/>
        </w:tabs>
        <w:spacing w:after="200" w:lineRule="auto"/>
        <w:jc w:val="both"/>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___________________________________________________________</w:t>
      </w:r>
      <w:r w:rsidDel="00000000" w:rsidR="00000000" w:rsidRPr="00000000">
        <w:rPr>
          <w:rFonts w:ascii="Calibri" w:cs="Calibri" w:eastAsia="Calibri" w:hAnsi="Calibri"/>
          <w:sz w:val="22"/>
          <w:szCs w:val="22"/>
          <w:rtl w:val="0"/>
        </w:rPr>
        <w:t xml:space="preserve">, именуем__ в дальнейшем «</w:t>
      </w:r>
      <w:r w:rsidDel="00000000" w:rsidR="00000000" w:rsidRPr="00000000">
        <w:rPr>
          <w:rFonts w:ascii="Calibri" w:cs="Calibri" w:eastAsia="Calibri" w:hAnsi="Calibri"/>
          <w:b w:val="1"/>
          <w:sz w:val="22"/>
          <w:szCs w:val="22"/>
          <w:rtl w:val="0"/>
        </w:rPr>
        <w:t xml:space="preserve">Партнер</w:t>
      </w:r>
      <w:r w:rsidDel="00000000" w:rsidR="00000000" w:rsidRPr="00000000">
        <w:rPr>
          <w:rFonts w:ascii="Calibri" w:cs="Calibri" w:eastAsia="Calibri" w:hAnsi="Calibri"/>
          <w:sz w:val="22"/>
          <w:szCs w:val="22"/>
          <w:rtl w:val="0"/>
        </w:rPr>
        <w:t xml:space="preserve">» с одной стороны и </w:t>
      </w:r>
      <w:r w:rsidDel="00000000" w:rsidR="00000000" w:rsidRPr="00000000">
        <w:rPr>
          <w:rFonts w:ascii="Calibri" w:cs="Calibri" w:eastAsia="Calibri" w:hAnsi="Calibri"/>
          <w:b w:val="1"/>
          <w:sz w:val="22"/>
          <w:szCs w:val="22"/>
          <w:rtl w:val="0"/>
        </w:rPr>
        <w:t xml:space="preserve">ООО «ТОЧКА-ТОЧКА ЛОГИСТИКА», </w:t>
      </w:r>
      <w:r w:rsidDel="00000000" w:rsidR="00000000" w:rsidRPr="00000000">
        <w:rPr>
          <w:rFonts w:ascii="Calibri" w:cs="Calibri" w:eastAsia="Calibri" w:hAnsi="Calibri"/>
          <w:sz w:val="22"/>
          <w:szCs w:val="22"/>
          <w:rtl w:val="0"/>
        </w:rPr>
        <w:t xml:space="preserve">именуемое в дальнейшем «</w:t>
      </w:r>
      <w:r w:rsidDel="00000000" w:rsidR="00000000" w:rsidRPr="00000000">
        <w:rPr>
          <w:rFonts w:ascii="Calibri" w:cs="Calibri" w:eastAsia="Calibri" w:hAnsi="Calibri"/>
          <w:b w:val="1"/>
          <w:sz w:val="22"/>
          <w:szCs w:val="22"/>
          <w:rtl w:val="0"/>
        </w:rPr>
        <w:t xml:space="preserve">ТТЛ</w:t>
      </w:r>
      <w:r w:rsidDel="00000000" w:rsidR="00000000" w:rsidRPr="00000000">
        <w:rPr>
          <w:rFonts w:ascii="Calibri" w:cs="Calibri" w:eastAsia="Calibri" w:hAnsi="Calibri"/>
          <w:sz w:val="22"/>
          <w:szCs w:val="22"/>
          <w:rtl w:val="0"/>
        </w:rPr>
        <w:t xml:space="preserve">», в лице управляющего ООО «ТОЧКА-ТОЧКА», действующего на основании Договора передачи полномочий единоличного исполнительного органа от 26.07.2019г., в лице Генерального директора А.В. Марчука, действующего на основании Устава с другой стороны, совместно именуемые «</w:t>
      </w:r>
      <w:r w:rsidDel="00000000" w:rsidR="00000000" w:rsidRPr="00000000">
        <w:rPr>
          <w:rFonts w:ascii="Calibri" w:cs="Calibri" w:eastAsia="Calibri" w:hAnsi="Calibri"/>
          <w:b w:val="1"/>
          <w:sz w:val="22"/>
          <w:szCs w:val="22"/>
          <w:rtl w:val="0"/>
        </w:rPr>
        <w:t xml:space="preserve">Стороны</w:t>
      </w:r>
      <w:r w:rsidDel="00000000" w:rsidR="00000000" w:rsidRPr="00000000">
        <w:rPr>
          <w:rFonts w:ascii="Calibri" w:cs="Calibri" w:eastAsia="Calibri" w:hAnsi="Calibri"/>
          <w:sz w:val="22"/>
          <w:szCs w:val="22"/>
          <w:rtl w:val="0"/>
        </w:rPr>
        <w:t xml:space="preserve">», заключили Договор о нижеследующем:</w:t>
      </w:r>
    </w:p>
    <w:p w:rsidR="00000000" w:rsidDel="00000000" w:rsidP="00000000" w:rsidRDefault="00000000" w:rsidRPr="00000000" w14:paraId="00000007">
      <w:pPr>
        <w:pStyle w:val="Heading3"/>
        <w:numPr>
          <w:ilvl w:val="0"/>
          <w:numId w:val="1"/>
        </w:numPr>
        <w:tabs>
          <w:tab w:val="left" w:leader="none" w:pos="567"/>
        </w:tabs>
        <w:spacing w:after="200" w:before="12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ОСНОВНЫЕ ПОЛОЖЕНИЯ</w:t>
      </w:r>
    </w:p>
    <w:p w:rsidR="00000000" w:rsidDel="00000000" w:rsidP="00000000" w:rsidRDefault="00000000" w:rsidRPr="00000000" w14:paraId="00000008">
      <w:pPr>
        <w:numPr>
          <w:ilvl w:val="1"/>
          <w:numId w:val="2"/>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Партнер </w:t>
      </w:r>
      <w:r w:rsidDel="00000000" w:rsidR="00000000" w:rsidRPr="00000000">
        <w:rPr>
          <w:rFonts w:ascii="Calibri" w:cs="Calibri" w:eastAsia="Calibri" w:hAnsi="Calibri"/>
          <w:color w:val="000000"/>
          <w:sz w:val="22"/>
          <w:szCs w:val="22"/>
          <w:rtl w:val="0"/>
        </w:rPr>
        <w:t xml:space="preserve">оказывает ТТЛ услуги, способствующи</w:t>
      </w:r>
      <w:r w:rsidDel="00000000" w:rsidR="00000000" w:rsidRPr="00000000">
        <w:rPr>
          <w:rFonts w:ascii="Calibri" w:cs="Calibri" w:eastAsia="Calibri" w:hAnsi="Calibri"/>
          <w:color w:val="000000"/>
          <w:sz w:val="22"/>
          <w:szCs w:val="22"/>
          <w:highlight w:val="white"/>
          <w:rtl w:val="0"/>
        </w:rPr>
        <w:t xml:space="preserve">е </w:t>
      </w:r>
      <w:r w:rsidDel="00000000" w:rsidR="00000000" w:rsidRPr="00000000">
        <w:rPr>
          <w:rFonts w:ascii="Calibri" w:cs="Calibri" w:eastAsia="Calibri" w:hAnsi="Calibri"/>
          <w:sz w:val="22"/>
          <w:szCs w:val="22"/>
          <w:highlight w:val="white"/>
          <w:rtl w:val="0"/>
        </w:rPr>
        <w:t xml:space="preserve">привлечению и исполнению Перевозчиком Заявки (привлечение Клиента  - обязанность ТТЛ), при этом услуга считается оказанной Партнером после выполнения Перевозчиком надлежащим образом и в полном объеме Заявки и предоставления Перевозчиком в адрес ТТЛ оригинала транспортной накладной (далее - ТН) и оригинала Акта (или универсального-передаточного документа (далее - УПД), подтверждающие оказание услуги. </w:t>
      </w:r>
    </w:p>
    <w:p w:rsidR="00000000" w:rsidDel="00000000" w:rsidP="00000000" w:rsidRDefault="00000000" w:rsidRPr="00000000" w14:paraId="00000009">
      <w:pPr>
        <w:numPr>
          <w:ilvl w:val="1"/>
          <w:numId w:val="2"/>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Партнер самостоятельно использует пользовательский функционал программы для ЭВМ: «Цифровая платформа распределения грузов среди перевозчиков на принципах шеринга и свободной конкуренции с использованием AI и IoT»  (далее – Платформа); доступ к которой осуществляется посредством интернет страницы www.dot-dot.ru) на условиях простой неисключительной безвозмездной лицензии (предоставляемой на срок действия настоящего Договора) путем ввода логина и пароля (предоставленного по адресу электронной почты Партнера указанному в настоящем Договоре) для доступа в личный кабинет (далее – ЛК). Логин и пароль являются аналогом простой электронной подписи Партнера. </w:t>
      </w:r>
      <w:r w:rsidDel="00000000" w:rsidR="00000000" w:rsidRPr="00000000">
        <w:rPr>
          <w:rtl w:val="0"/>
        </w:rPr>
      </w:r>
    </w:p>
    <w:p w:rsidR="00000000" w:rsidDel="00000000" w:rsidP="00000000" w:rsidRDefault="00000000" w:rsidRPr="00000000" w14:paraId="0000000A">
      <w:pPr>
        <w:numPr>
          <w:ilvl w:val="1"/>
          <w:numId w:val="2"/>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В случае если в течение тридцати календарных дней больше или равно 5% от всех подтвержденных Заявок Перевозчиков, привлеченных Партнером, не были выполнены в результате их действий или бездействий (включая непредоставление Перевозчиками транспортных средств в указанное время), ТТЛ вправе установить запрет для работы Партнера на </w:t>
      </w:r>
      <w:r w:rsidDel="00000000" w:rsidR="00000000" w:rsidRPr="00000000">
        <w:rPr>
          <w:rFonts w:ascii="Calibri" w:cs="Calibri" w:eastAsia="Calibri" w:hAnsi="Calibri"/>
          <w:sz w:val="22"/>
          <w:szCs w:val="22"/>
          <w:rtl w:val="0"/>
        </w:rPr>
        <w:t xml:space="preserve">Платформе </w:t>
      </w:r>
      <w:r w:rsidDel="00000000" w:rsidR="00000000" w:rsidRPr="00000000">
        <w:rPr>
          <w:rFonts w:ascii="Calibri" w:cs="Calibri" w:eastAsia="Calibri" w:hAnsi="Calibri"/>
          <w:color w:val="000000"/>
          <w:sz w:val="22"/>
          <w:szCs w:val="22"/>
          <w:rtl w:val="0"/>
        </w:rPr>
        <w:t xml:space="preserve">без дополнительного уведомления на срок до тридцати календарных дней. </w:t>
      </w:r>
    </w:p>
    <w:p w:rsidR="00000000" w:rsidDel="00000000" w:rsidP="00000000" w:rsidRDefault="00000000" w:rsidRPr="00000000" w14:paraId="0000000B">
      <w:pPr>
        <w:pBdr>
          <w:top w:space="0" w:sz="0" w:val="nil"/>
          <w:left w:space="0" w:sz="0" w:val="nil"/>
          <w:bottom w:space="0" w:sz="0" w:val="nil"/>
          <w:right w:space="0" w:sz="0" w:val="nil"/>
          <w:between w:space="0" w:sz="0" w:val="nil"/>
        </w:pBdr>
        <w:ind w:left="567" w:firstLine="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В случае повторного неисполнения в течение тридцати календарных дней больше или равно 5% от всех подтвержденных Заявок Перевозчиков, привлеченных Партнером, ТТЛ вправе установить запрет без дополнительного уведомления для работы Партнера на </w:t>
      </w:r>
      <w:r w:rsidDel="00000000" w:rsidR="00000000" w:rsidRPr="00000000">
        <w:rPr>
          <w:rFonts w:ascii="Calibri" w:cs="Calibri" w:eastAsia="Calibri" w:hAnsi="Calibri"/>
          <w:sz w:val="22"/>
          <w:szCs w:val="22"/>
          <w:rtl w:val="0"/>
        </w:rPr>
        <w:t xml:space="preserve">Платформе </w:t>
      </w:r>
      <w:r w:rsidDel="00000000" w:rsidR="00000000" w:rsidRPr="00000000">
        <w:rPr>
          <w:rFonts w:ascii="Calibri" w:cs="Calibri" w:eastAsia="Calibri" w:hAnsi="Calibri"/>
          <w:color w:val="000000"/>
          <w:sz w:val="22"/>
          <w:szCs w:val="22"/>
          <w:rtl w:val="0"/>
        </w:rPr>
        <w:t xml:space="preserve">на любой срок или расторгнуть Договор в одностороннем порядке с даты, указанной в уведомлении. </w:t>
      </w:r>
    </w:p>
    <w:p w:rsidR="00000000" w:rsidDel="00000000" w:rsidP="00000000" w:rsidRDefault="00000000" w:rsidRPr="00000000" w14:paraId="0000000C">
      <w:pPr>
        <w:numPr>
          <w:ilvl w:val="1"/>
          <w:numId w:val="2"/>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Оплата услуг осуществляется ежемесячно исходя из фактически оказанных услуг (на основании предоставленных Перевозчиком оригиналов </w:t>
      </w:r>
      <w:r w:rsidDel="00000000" w:rsidR="00000000" w:rsidRPr="00000000">
        <w:rPr>
          <w:rFonts w:ascii="Calibri" w:cs="Calibri" w:eastAsia="Calibri" w:hAnsi="Calibri"/>
          <w:sz w:val="22"/>
          <w:szCs w:val="22"/>
          <w:rtl w:val="0"/>
        </w:rPr>
        <w:t xml:space="preserve">ТН и Акта (или УПД</w:t>
      </w:r>
      <w:r w:rsidDel="00000000" w:rsidR="00000000" w:rsidRPr="00000000">
        <w:rPr>
          <w:rFonts w:ascii="Calibri" w:cs="Calibri" w:eastAsia="Calibri" w:hAnsi="Calibri"/>
          <w:color w:val="000000"/>
          <w:sz w:val="22"/>
          <w:szCs w:val="22"/>
          <w:rtl w:val="0"/>
        </w:rPr>
        <w:t xml:space="preserve">) на основании Акта оказанных услуг (далее – Акт) в течение 3 (Трех) банковских дней с даты предоставления Партнером в адрес ТТЛ оригинала Акта, при условии его подписания обеими Сторонами</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00D">
      <w:pPr>
        <w:numPr>
          <w:ilvl w:val="1"/>
          <w:numId w:val="2"/>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ТТЛ оплачивает услуги Партнера</w:t>
      </w:r>
      <w:r w:rsidDel="00000000" w:rsidR="00000000" w:rsidRPr="00000000">
        <w:rPr>
          <w:rFonts w:ascii="Calibri" w:cs="Calibri" w:eastAsia="Calibri" w:hAnsi="Calibri"/>
          <w:sz w:val="22"/>
          <w:szCs w:val="22"/>
          <w:rtl w:val="0"/>
        </w:rPr>
        <w:t xml:space="preserve">:</w:t>
      </w:r>
      <w:r w:rsidDel="00000000" w:rsidR="00000000" w:rsidRPr="00000000">
        <w:rPr>
          <w:rtl w:val="0"/>
        </w:rPr>
      </w:r>
    </w:p>
    <w:p w:rsidR="00000000" w:rsidDel="00000000" w:rsidP="00000000" w:rsidRDefault="00000000" w:rsidRPr="00000000" w14:paraId="0000000E">
      <w:pPr>
        <w:numPr>
          <w:ilvl w:val="2"/>
          <w:numId w:val="2"/>
        </w:numPr>
        <w:pBdr>
          <w:top w:space="0" w:sz="0" w:val="nil"/>
          <w:left w:space="0" w:sz="0" w:val="nil"/>
          <w:bottom w:space="0" w:sz="0" w:val="nil"/>
          <w:right w:space="0" w:sz="0" w:val="nil"/>
          <w:between w:space="0" w:sz="0" w:val="nil"/>
        </w:pBdr>
        <w:ind w:left="1080" w:hanging="72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За каждую выполненную Заявку, если Заявка выполнена </w:t>
      </w:r>
      <w:r w:rsidDel="00000000" w:rsidR="00000000" w:rsidRPr="00000000">
        <w:rPr>
          <w:rFonts w:ascii="Calibri" w:cs="Calibri" w:eastAsia="Calibri" w:hAnsi="Calibri"/>
          <w:sz w:val="22"/>
          <w:szCs w:val="22"/>
          <w:u w:val="single"/>
          <w:rtl w:val="0"/>
        </w:rPr>
        <w:t xml:space="preserve">по</w:t>
      </w:r>
      <w:r w:rsidDel="00000000" w:rsidR="00000000" w:rsidRPr="00000000">
        <w:rPr>
          <w:rFonts w:ascii="Calibri" w:cs="Calibri" w:eastAsia="Calibri" w:hAnsi="Calibri"/>
          <w:sz w:val="22"/>
          <w:szCs w:val="22"/>
          <w:rtl w:val="0"/>
        </w:rPr>
        <w:t xml:space="preserve"> Первичной цене 5% от стоимости перевозки без НДС. </w:t>
      </w:r>
    </w:p>
    <w:p w:rsidR="00000000" w:rsidDel="00000000" w:rsidP="00000000" w:rsidRDefault="00000000" w:rsidRPr="00000000" w14:paraId="0000000F">
      <w:pPr>
        <w:pBdr>
          <w:top w:space="0" w:sz="0" w:val="nil"/>
          <w:left w:space="0" w:sz="0" w:val="nil"/>
          <w:bottom w:space="0" w:sz="0" w:val="nil"/>
          <w:right w:space="0" w:sz="0" w:val="nil"/>
          <w:between w:space="0" w:sz="0" w:val="nil"/>
        </w:pBdr>
        <w:jc w:val="both"/>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Пример: Первичная цена 30000 рублей. Стоимость перевозки 30000 рублей. Услуги Партнера оплачиваются из расчета 30000 x 5% = 1500 рублей. Расчеты представлены без учета НДС.</w:t>
      </w:r>
    </w:p>
    <w:p w:rsidR="00000000" w:rsidDel="00000000" w:rsidP="00000000" w:rsidRDefault="00000000" w:rsidRPr="00000000" w14:paraId="00000010">
      <w:pPr>
        <w:numPr>
          <w:ilvl w:val="2"/>
          <w:numId w:val="2"/>
        </w:numPr>
        <w:ind w:left="1080" w:hanging="72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За каждую выполненную Заявку, если Заявка выполнена </w:t>
      </w:r>
      <w:r w:rsidDel="00000000" w:rsidR="00000000" w:rsidRPr="00000000">
        <w:rPr>
          <w:rFonts w:ascii="Calibri" w:cs="Calibri" w:eastAsia="Calibri" w:hAnsi="Calibri"/>
          <w:sz w:val="22"/>
          <w:szCs w:val="22"/>
          <w:u w:val="single"/>
          <w:rtl w:val="0"/>
        </w:rPr>
        <w:t xml:space="preserve">ниже</w:t>
      </w:r>
      <w:r w:rsidDel="00000000" w:rsidR="00000000" w:rsidRPr="00000000">
        <w:rPr>
          <w:rFonts w:ascii="Calibri" w:cs="Calibri" w:eastAsia="Calibri" w:hAnsi="Calibri"/>
          <w:sz w:val="22"/>
          <w:szCs w:val="22"/>
          <w:rtl w:val="0"/>
        </w:rPr>
        <w:t xml:space="preserve"> Первичной цены:</w:t>
      </w:r>
    </w:p>
    <w:p w:rsidR="00000000" w:rsidDel="00000000" w:rsidP="00000000" w:rsidRDefault="00000000" w:rsidRPr="00000000" w14:paraId="00000011">
      <w:pPr>
        <w:numPr>
          <w:ilvl w:val="0"/>
          <w:numId w:val="3"/>
        </w:numPr>
        <w:ind w:left="144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 от стоимости перевозки без НДС;</w:t>
      </w:r>
    </w:p>
    <w:p w:rsidR="00000000" w:rsidDel="00000000" w:rsidP="00000000" w:rsidRDefault="00000000" w:rsidRPr="00000000" w14:paraId="00000012">
      <w:pPr>
        <w:numPr>
          <w:ilvl w:val="0"/>
          <w:numId w:val="3"/>
        </w:numPr>
        <w:ind w:left="144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разница между Первичной ценой без НДС и фактической стоимостью перевозки без НДС.</w:t>
      </w:r>
    </w:p>
    <w:p w:rsidR="00000000" w:rsidDel="00000000" w:rsidP="00000000" w:rsidRDefault="00000000" w:rsidRPr="00000000" w14:paraId="00000013">
      <w:pPr>
        <w:jc w:val="both"/>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Пример: Первичная цена 40000 рублей, стоимость перевозки 30000 рублей. Услуги Партнера оплачиваются из расчета 30000 х 5% + (40000 - 30000) = 11500 рублей. Расчеты представлены без учета НДС.</w:t>
      </w:r>
    </w:p>
    <w:p w:rsidR="00000000" w:rsidDel="00000000" w:rsidP="00000000" w:rsidRDefault="00000000" w:rsidRPr="00000000" w14:paraId="00000014">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Первичная цена </w:t>
      </w:r>
      <w:r w:rsidDel="00000000" w:rsidR="00000000" w:rsidRPr="00000000">
        <w:rPr>
          <w:rFonts w:ascii="Symbol" w:cs="Symbol" w:eastAsia="Symbol" w:hAnsi="Symbol"/>
          <w:sz w:val="22"/>
          <w:szCs w:val="22"/>
          <w:rtl w:val="0"/>
        </w:rPr>
        <w:t xml:space="preserve">−</w:t>
      </w:r>
      <w:r w:rsidDel="00000000" w:rsidR="00000000" w:rsidRPr="00000000">
        <w:rPr>
          <w:rFonts w:ascii="Calibri" w:cs="Calibri" w:eastAsia="Calibri" w:hAnsi="Calibri"/>
          <w:sz w:val="22"/>
          <w:szCs w:val="22"/>
          <w:rtl w:val="0"/>
        </w:rPr>
        <w:t xml:space="preserve"> указывается на Платформе и рассчитывается автоматически с помощью алгоритмов Платформы.  </w:t>
      </w:r>
    </w:p>
    <w:p w:rsidR="00000000" w:rsidDel="00000000" w:rsidP="00000000" w:rsidRDefault="00000000" w:rsidRPr="00000000" w14:paraId="00000015">
      <w:pPr>
        <w:numPr>
          <w:ilvl w:val="1"/>
          <w:numId w:val="2"/>
        </w:numPr>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Датой оплаты считается дата списания денежных средств с расчетного счета ТТЛ.</w:t>
      </w:r>
    </w:p>
    <w:p w:rsidR="00000000" w:rsidDel="00000000" w:rsidP="00000000" w:rsidRDefault="00000000" w:rsidRPr="00000000" w14:paraId="00000016">
      <w:pPr>
        <w:numPr>
          <w:ilvl w:val="1"/>
          <w:numId w:val="2"/>
        </w:numPr>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В случае если Партнер является плательщиком НДС, в соответствии с налоговым законодательством РФ, НДС рассчитывается сверх суммы, указанной без НДС.</w:t>
      </w:r>
    </w:p>
    <w:p w:rsidR="00000000" w:rsidDel="00000000" w:rsidP="00000000" w:rsidRDefault="00000000" w:rsidRPr="00000000" w14:paraId="00000017">
      <w:pPr>
        <w:numPr>
          <w:ilvl w:val="1"/>
          <w:numId w:val="2"/>
        </w:numPr>
        <w:spacing w:after="200" w:lineRule="auto"/>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В случае применения Партнером специального налогового режима «Налог на профессиональный доход» (Федеральный закон от 27.11.2018 N 422-ФЗ). Партнер, на каждую выплаченную по Договору сумму, обязуется передать ТТЛ чек (в электронном виде – направив на электронный адрес av@dot-dot.ru), сформированный при получении оплаты на свой расчетный счет. В случае прекращения использования Партнером права на применение специального налогового режима "Налог на профессиональный доход" Партнер обязуется сообщить об этом ТТЛ в течение одного календарного дня с даты прекращения применения спец. режима. До заключения Договора Партнер обязуется предоставить ТТЛ документ, подтверждающий, применение специального налогового режима. Партнер обязан уведомить ТТЛ в случае, если его доход за предыдущий календарный год превысит 2400000 (Два миллиона четыреста тысяч) рублей. </w:t>
      </w:r>
    </w:p>
    <w:p w:rsidR="00000000" w:rsidDel="00000000" w:rsidP="00000000" w:rsidRDefault="00000000" w:rsidRPr="00000000" w14:paraId="00000018">
      <w:pPr>
        <w:pStyle w:val="Heading3"/>
        <w:numPr>
          <w:ilvl w:val="0"/>
          <w:numId w:val="2"/>
        </w:numPr>
        <w:tabs>
          <w:tab w:val="left" w:leader="none" w:pos="567"/>
        </w:tabs>
        <w:spacing w:after="200" w:before="12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ПОРЯДОК РАСТОРЖЕНИЯ И СРОК ДЕЙСТВИЯ ДОГОВОРА</w:t>
      </w:r>
    </w:p>
    <w:p w:rsidR="00000000" w:rsidDel="00000000" w:rsidP="00000000" w:rsidRDefault="00000000" w:rsidRPr="00000000" w14:paraId="00000019">
      <w:pPr>
        <w:numPr>
          <w:ilvl w:val="1"/>
          <w:numId w:val="2"/>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Договор заключен на один год, вступает в силу с момента его подписания Сторонами и действует до его прекращения по основаниям, предусмотренным Договором или законодательством РФ. В случае, если по истечении года ни одна из Сторон не заявит в письменном виде о его расторжении, </w:t>
      </w:r>
      <w:r w:rsidDel="00000000" w:rsidR="00000000" w:rsidRPr="00000000">
        <w:rPr>
          <w:rFonts w:ascii="Calibri" w:cs="Calibri" w:eastAsia="Calibri" w:hAnsi="Calibri"/>
          <w:sz w:val="22"/>
          <w:szCs w:val="22"/>
          <w:rtl w:val="0"/>
        </w:rPr>
        <w:t xml:space="preserve">Д</w:t>
      </w:r>
      <w:r w:rsidDel="00000000" w:rsidR="00000000" w:rsidRPr="00000000">
        <w:rPr>
          <w:rFonts w:ascii="Calibri" w:cs="Calibri" w:eastAsia="Calibri" w:hAnsi="Calibri"/>
          <w:color w:val="000000"/>
          <w:sz w:val="22"/>
          <w:szCs w:val="22"/>
          <w:rtl w:val="0"/>
        </w:rPr>
        <w:t xml:space="preserve">оговор будет считаться пролонгированным еще на один год.</w:t>
      </w:r>
    </w:p>
    <w:p w:rsidR="00000000" w:rsidDel="00000000" w:rsidP="00000000" w:rsidRDefault="00000000" w:rsidRPr="00000000" w14:paraId="0000001A">
      <w:pPr>
        <w:numPr>
          <w:ilvl w:val="1"/>
          <w:numId w:val="2"/>
        </w:numPr>
        <w:pBdr>
          <w:top w:space="0" w:sz="0" w:val="nil"/>
          <w:left w:space="0" w:sz="0" w:val="nil"/>
          <w:bottom w:space="0" w:sz="0" w:val="nil"/>
          <w:right w:space="0" w:sz="0" w:val="nil"/>
          <w:between w:space="0" w:sz="0" w:val="nil"/>
        </w:pBdr>
        <w:spacing w:after="200" w:lineRule="auto"/>
        <w:ind w:left="567" w:hanging="567"/>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Договор, может быть прекращен досрочно по письменному соглашению Сторон. </w:t>
      </w:r>
      <w:r w:rsidDel="00000000" w:rsidR="00000000" w:rsidRPr="00000000">
        <w:rPr>
          <w:rFonts w:ascii="Calibri" w:cs="Calibri" w:eastAsia="Calibri" w:hAnsi="Calibri"/>
          <w:sz w:val="22"/>
          <w:szCs w:val="22"/>
          <w:rtl w:val="0"/>
        </w:rPr>
        <w:t xml:space="preserve">Каждая из Сторон вправе в одностороннем внесудебном порядке отказаться от исполнения Договора, уведомив другую сторону об этом за 5 (Пять) рабочих дней.</w:t>
      </w:r>
      <w:r w:rsidDel="00000000" w:rsidR="00000000" w:rsidRPr="00000000">
        <w:rPr>
          <w:rtl w:val="0"/>
        </w:rPr>
      </w:r>
    </w:p>
    <w:p w:rsidR="00000000" w:rsidDel="00000000" w:rsidP="00000000" w:rsidRDefault="00000000" w:rsidRPr="00000000" w14:paraId="0000001B">
      <w:pPr>
        <w:pStyle w:val="Heading3"/>
        <w:numPr>
          <w:ilvl w:val="0"/>
          <w:numId w:val="2"/>
        </w:numPr>
        <w:tabs>
          <w:tab w:val="left" w:leader="none" w:pos="567"/>
        </w:tabs>
        <w:spacing w:after="200" w:before="12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ПРОЧИЕ УСЛОВИЯ </w:t>
      </w:r>
    </w:p>
    <w:p w:rsidR="00000000" w:rsidDel="00000000" w:rsidP="00000000" w:rsidRDefault="00000000" w:rsidRPr="00000000" w14:paraId="0000001C">
      <w:pPr>
        <w:numPr>
          <w:ilvl w:val="1"/>
          <w:numId w:val="2"/>
        </w:numPr>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В случае немотивированного нарушения ТТЛ сроков оплаты Партнер вправе потребовать уплаты пени из расчета 0,1% за каждый день просрочки.</w:t>
      </w:r>
    </w:p>
    <w:p w:rsidR="00000000" w:rsidDel="00000000" w:rsidP="00000000" w:rsidRDefault="00000000" w:rsidRPr="00000000" w14:paraId="0000001D">
      <w:pPr>
        <w:numPr>
          <w:ilvl w:val="1"/>
          <w:numId w:val="2"/>
        </w:numPr>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В случае нарушения п.п. 3.5 - 3.9 Договора нарушившая Сторона обязуется возместить ущерб пострадавшей Стороне в течение 5 (Пяти) рабочих дней с момента направления соответствующего требования по электронной почте.</w:t>
      </w:r>
    </w:p>
    <w:p w:rsidR="00000000" w:rsidDel="00000000" w:rsidP="00000000" w:rsidRDefault="00000000" w:rsidRPr="00000000" w14:paraId="0000001E">
      <w:pPr>
        <w:numPr>
          <w:ilvl w:val="1"/>
          <w:numId w:val="2"/>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ТТЛ может по своему усмотрению в любое время без дополнительного уведомления изменять функционал, интерфейс, алгоритм работы Платформы, проводить работы, во время которых Платформа (работает по принципу «as is») может быть недоступна для использования, что не является основанием для привлечения ТТЛ к ответственности и взыскания убытков, возникших в связи со сбоем в работе, ошибками и прочее.</w:t>
      </w:r>
      <w:r w:rsidDel="00000000" w:rsidR="00000000" w:rsidRPr="00000000">
        <w:rPr>
          <w:rtl w:val="0"/>
        </w:rPr>
      </w:r>
    </w:p>
    <w:p w:rsidR="00000000" w:rsidDel="00000000" w:rsidP="00000000" w:rsidRDefault="00000000" w:rsidRPr="00000000" w14:paraId="0000001F">
      <w:pPr>
        <w:numPr>
          <w:ilvl w:val="1"/>
          <w:numId w:val="2"/>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Все действия и переписка Сторон: на Платформе, по адресам электронной почты, номерам телефонов (вкл. смс, мессенджеры) – имеют юридическую силу и считаются юридически значимыми и исходящими от надлежащим образом уполномоченных лиц соответствующей Стороны, а также в том случае, когда они не содержат сведений об отправителе и являются надлежащим доказательством в случае возникновения любых споров. Электронные образы документов, размещенные Стороной в ЛК/направленные по электронной почте, считаются совершенными в письменной форме и подписанными простой электронной подписью уполномоченного лица отправляющей Стороны. В случае размещения в ЛК/направления уведомлений по электронной почте/номеру телефонов (включая мессенджеры), Сторона считается уведомленной надлежащим образом с момента отправки уведомления. Под мессенджерами Стороны понимают: Viber, Telegram и прочее.</w:t>
      </w:r>
      <w:r w:rsidDel="00000000" w:rsidR="00000000" w:rsidRPr="00000000">
        <w:rPr>
          <w:rtl w:val="0"/>
        </w:rPr>
      </w:r>
    </w:p>
    <w:p w:rsidR="00000000" w:rsidDel="00000000" w:rsidP="00000000" w:rsidRDefault="00000000" w:rsidRPr="00000000" w14:paraId="00000020">
      <w:pPr>
        <w:numPr>
          <w:ilvl w:val="1"/>
          <w:numId w:val="2"/>
        </w:numPr>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Стороны дают безусловное согласие на обработку, хранение, передачу и использование персональных данных лиц, участвующих в оказании услуг, а также на рассылку sms, push, онлайн-чеков и иных уведомлений связанных с оказанием услуг по Договору. При предоставлении Сторонами данных третьих лиц Стороны гарантируют, что согласие третьих лиц ими получено. Сторона, получившая персональные данные обязуется обеспечить надежность их обработки в соответствии с требованием законодательства РФ. Сторона, не исполнившая данные условия, несет ответственность в случае предъявления каких-либо претензий другой Стороне. </w:t>
      </w:r>
    </w:p>
    <w:p w:rsidR="00000000" w:rsidDel="00000000" w:rsidP="00000000" w:rsidRDefault="00000000" w:rsidRPr="00000000" w14:paraId="00000021">
      <w:pPr>
        <w:numPr>
          <w:ilvl w:val="1"/>
          <w:numId w:val="2"/>
        </w:numPr>
        <w:pBdr>
          <w:top w:space="0" w:sz="0" w:val="nil"/>
          <w:left w:space="0" w:sz="0" w:val="nil"/>
          <w:bottom w:space="0" w:sz="0" w:val="nil"/>
          <w:right w:space="0" w:sz="0" w:val="nil"/>
          <w:between w:space="0" w:sz="0" w:val="nil"/>
        </w:pBdr>
        <w:ind w:left="567" w:hanging="567"/>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Партнер обязуется сообщать по электронной почте об изменении системы налогообложения, банковских реквизитов, наименований, ответственных лиц, места нахождения в течение 3 (Трех) рабочих дней с момента соответствующих изменений.</w:t>
      </w:r>
      <w:r w:rsidDel="00000000" w:rsidR="00000000" w:rsidRPr="00000000">
        <w:rPr>
          <w:rtl w:val="0"/>
        </w:rPr>
      </w:r>
    </w:p>
    <w:p w:rsidR="00000000" w:rsidDel="00000000" w:rsidP="00000000" w:rsidRDefault="00000000" w:rsidRPr="00000000" w14:paraId="00000022">
      <w:pPr>
        <w:numPr>
          <w:ilvl w:val="1"/>
          <w:numId w:val="2"/>
        </w:numPr>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В случае возникновения у Партнера признаков или угрозы банкротства, включая подачу в арбитражный суд заявления о признании банкротом, Партнер обязан направить письменное уведомление об этом ТТЛ в течение 3 (Трех) дней с даты, когда ему стало или должно было стать известно о возникновении признаков банкротства или угрозе банкротства.</w:t>
      </w:r>
    </w:p>
    <w:p w:rsidR="00000000" w:rsidDel="00000000" w:rsidP="00000000" w:rsidRDefault="00000000" w:rsidRPr="00000000" w14:paraId="00000023">
      <w:pPr>
        <w:numPr>
          <w:ilvl w:val="1"/>
          <w:numId w:val="2"/>
        </w:numPr>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Каждая Сторона, с момента акцепта Договора заверяет, что является добросовестным налогоплательщиком, исполняющим в должной мере обязанности, предусмотренные налоговым законодательством РФ, включая, но не ограничиваясь: своевременное составление и предоставление контролирующим органам достоверной бухгалтерской и налоговой отчетности, не допуская искажения фактов хозяйственной жизни (совокупности таких фактов), об объектах налогообложения, подлежащих отражению в налоговом и (или) бухгалтерском учете, либо налоговой отчетности налогоплательщика; не допускает совершения сделок (операций), основной целью которых являются неуплата (неполная уплата) и (или) зачет (возврат) суммы налога; своевременно и в полной мере уплачивает налоговые платежи; не допускает фиктивного документооборота при отсутствии реальных хозяйственных отношений.</w:t>
      </w:r>
    </w:p>
    <w:p w:rsidR="00000000" w:rsidDel="00000000" w:rsidP="00000000" w:rsidRDefault="00000000" w:rsidRPr="00000000" w14:paraId="00000024">
      <w:pPr>
        <w:numPr>
          <w:ilvl w:val="1"/>
          <w:numId w:val="2"/>
        </w:numPr>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Вся предоставленная друг другу или ставшая известной информация в отношении Сторон, их третьих лиц, относящаяся, в том числе, к персональным данным, коммерческой тайне и неизвестная на законном основании получающей стороне на момент предоставления, а также не считающаяся общедоступной в соответствии с законодательством РФ, считается конфиденциальной, влечет обязанность обеспечения получившей её Стороной конфиденциальности и безопасности, и используется Сторонами исключительно в целях исполнения взятых обязательств и не подлежит разглашению без письменного разрешения Стороны, ее предоставившей. </w:t>
      </w:r>
    </w:p>
    <w:p w:rsidR="00000000" w:rsidDel="00000000" w:rsidP="00000000" w:rsidRDefault="00000000" w:rsidRPr="00000000" w14:paraId="00000025">
      <w:pPr>
        <w:numPr>
          <w:ilvl w:val="1"/>
          <w:numId w:val="2"/>
        </w:numPr>
        <w:spacing w:after="200" w:lineRule="auto"/>
        <w:ind w:left="566" w:hanging="56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Все споры решаются путем переговоров посредством электронной почты или по почте. Стороны устанавливают срок ответа по претензии 10 (Десять) календарных дней, с момента ее получения другой Стороной. В случае недостижения согласия споры разрешаются в соответствии с законодательством РФ. </w:t>
      </w:r>
    </w:p>
    <w:p w:rsidR="00000000" w:rsidDel="00000000" w:rsidP="00000000" w:rsidRDefault="00000000" w:rsidRPr="00000000" w14:paraId="00000026">
      <w:pPr>
        <w:pStyle w:val="Heading3"/>
        <w:numPr>
          <w:ilvl w:val="0"/>
          <w:numId w:val="2"/>
        </w:numPr>
        <w:tabs>
          <w:tab w:val="left" w:leader="none" w:pos="567"/>
        </w:tabs>
        <w:spacing w:after="0" w:before="12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РЕКВИЗИТЫ И ПОДПИСИ СТОРОН  </w:t>
      </w:r>
    </w:p>
    <w:tbl>
      <w:tblPr>
        <w:tblStyle w:val="Table1"/>
        <w:tblW w:w="9604.0" w:type="dxa"/>
        <w:jc w:val="left"/>
        <w:tblInd w:w="-149.0" w:type="dxa"/>
        <w:tblLayout w:type="fixed"/>
        <w:tblLook w:val="0000"/>
      </w:tblPr>
      <w:tblGrid>
        <w:gridCol w:w="4712"/>
        <w:gridCol w:w="4892"/>
        <w:tblGridChange w:id="0">
          <w:tblGrid>
            <w:gridCol w:w="4712"/>
            <w:gridCol w:w="4892"/>
          </w:tblGrid>
        </w:tblGridChange>
      </w:tblGrid>
      <w:tr>
        <w:trPr>
          <w:cantSplit w:val="0"/>
          <w:trHeight w:val="166" w:hRule="atLeast"/>
          <w:tblHeader w:val="0"/>
        </w:trPr>
        <w:tc>
          <w:tcPr/>
          <w:p w:rsidR="00000000" w:rsidDel="00000000" w:rsidP="00000000" w:rsidRDefault="00000000" w:rsidRPr="00000000" w14:paraId="00000027">
            <w:pPr>
              <w:pStyle w:val="Heading5"/>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ПАРТНЕР:</w:t>
            </w:r>
          </w:p>
        </w:tc>
        <w:tc>
          <w:tcPr/>
          <w:p w:rsidR="00000000" w:rsidDel="00000000" w:rsidP="00000000" w:rsidRDefault="00000000" w:rsidRPr="00000000" w14:paraId="00000028">
            <w:pPr>
              <w:ind w:left="-108" w:firstLine="108"/>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ТТЛ:</w:t>
            </w:r>
          </w:p>
        </w:tc>
      </w:tr>
      <w:tr>
        <w:trPr>
          <w:cantSplit w:val="1"/>
          <w:trHeight w:val="2895" w:hRule="atLeast"/>
          <w:tblHeader w:val="0"/>
        </w:trPr>
        <w:tc>
          <w:tcPr/>
          <w:p w:rsidR="00000000" w:rsidDel="00000000" w:rsidP="00000000" w:rsidRDefault="00000000" w:rsidRPr="00000000" w14:paraId="0000002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______________________________________</w:t>
            </w:r>
          </w:p>
          <w:p w:rsidR="00000000" w:rsidDel="00000000" w:rsidP="00000000" w:rsidRDefault="00000000" w:rsidRPr="00000000" w14:paraId="0000002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Адрес: ______________________________________</w:t>
            </w:r>
          </w:p>
          <w:p w:rsidR="00000000" w:rsidDel="00000000" w:rsidP="00000000" w:rsidRDefault="00000000" w:rsidRPr="00000000" w14:paraId="0000002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ИНН_____________________                                                                         БИК_____________________   </w:t>
            </w:r>
          </w:p>
          <w:p w:rsidR="00000000" w:rsidDel="00000000" w:rsidP="00000000" w:rsidRDefault="00000000" w:rsidRPr="00000000" w14:paraId="0000002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Банк_____________________________</w:t>
            </w:r>
          </w:p>
          <w:p w:rsidR="00000000" w:rsidDel="00000000" w:rsidP="00000000" w:rsidRDefault="00000000" w:rsidRPr="00000000" w14:paraId="0000002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р/с______________________________                                                                                                                        </w:t>
            </w:r>
          </w:p>
          <w:p w:rsidR="00000000" w:rsidDel="00000000" w:rsidP="00000000" w:rsidRDefault="00000000" w:rsidRPr="00000000" w14:paraId="0000002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к/с______________________________</w:t>
            </w:r>
          </w:p>
          <w:p w:rsidR="00000000" w:rsidDel="00000000" w:rsidP="00000000" w:rsidRDefault="00000000" w:rsidRPr="00000000" w14:paraId="0000002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Тел. +7___________________</w:t>
            </w:r>
          </w:p>
          <w:p w:rsidR="00000000" w:rsidDel="00000000" w:rsidP="00000000" w:rsidRDefault="00000000" w:rsidRPr="00000000" w14:paraId="0000003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Электронная почта: _____________________</w:t>
            </w:r>
          </w:p>
        </w:tc>
        <w:tc>
          <w:tcPr/>
          <w:p w:rsidR="00000000" w:rsidDel="00000000" w:rsidP="00000000" w:rsidRDefault="00000000" w:rsidRPr="00000000" w14:paraId="0000003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ООО «ТОЧКА-ТОЧКА ЛОГИСТИКА»</w:t>
            </w:r>
          </w:p>
          <w:p w:rsidR="00000000" w:rsidDel="00000000" w:rsidP="00000000" w:rsidRDefault="00000000" w:rsidRPr="00000000" w14:paraId="0000003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Адрес: 109428, г. Москва, Рязанский пр-кт, д. 22, к. 2, помещ. XVI, ком. 5</w:t>
            </w:r>
          </w:p>
          <w:p w:rsidR="00000000" w:rsidDel="00000000" w:rsidP="00000000" w:rsidRDefault="00000000" w:rsidRPr="00000000" w14:paraId="0000003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ИНН </w:t>
            </w:r>
            <w:r w:rsidDel="00000000" w:rsidR="00000000" w:rsidRPr="00000000">
              <w:rPr>
                <w:rFonts w:ascii="Calibri" w:cs="Calibri" w:eastAsia="Calibri" w:hAnsi="Calibri"/>
                <w:b w:val="1"/>
                <w:sz w:val="22"/>
                <w:szCs w:val="22"/>
                <w:rtl w:val="0"/>
              </w:rPr>
              <w:t xml:space="preserve">9721084356</w:t>
            </w:r>
            <w:r w:rsidDel="00000000" w:rsidR="00000000" w:rsidRPr="00000000">
              <w:rPr>
                <w:rtl w:val="0"/>
              </w:rPr>
            </w:r>
          </w:p>
          <w:p w:rsidR="00000000" w:rsidDel="00000000" w:rsidP="00000000" w:rsidRDefault="00000000" w:rsidRPr="00000000" w14:paraId="0000003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КПП </w:t>
            </w:r>
            <w:r w:rsidDel="00000000" w:rsidR="00000000" w:rsidRPr="00000000">
              <w:rPr>
                <w:rFonts w:ascii="Calibri" w:cs="Calibri" w:eastAsia="Calibri" w:hAnsi="Calibri"/>
                <w:b w:val="1"/>
                <w:sz w:val="22"/>
                <w:szCs w:val="22"/>
                <w:rtl w:val="0"/>
              </w:rPr>
              <w:t xml:space="preserve">772101001</w:t>
            </w:r>
            <w:r w:rsidDel="00000000" w:rsidR="00000000" w:rsidRPr="00000000">
              <w:rPr>
                <w:rFonts w:ascii="Calibri" w:cs="Calibri" w:eastAsia="Calibri" w:hAnsi="Calibri"/>
                <w:sz w:val="22"/>
                <w:szCs w:val="22"/>
                <w:rtl w:val="0"/>
              </w:rPr>
              <w:t xml:space="preserve">                                                                         БИК </w:t>
            </w:r>
            <w:r w:rsidDel="00000000" w:rsidR="00000000" w:rsidRPr="00000000">
              <w:rPr>
                <w:rFonts w:ascii="Calibri" w:cs="Calibri" w:eastAsia="Calibri" w:hAnsi="Calibri"/>
                <w:b w:val="1"/>
                <w:sz w:val="22"/>
                <w:szCs w:val="22"/>
                <w:rtl w:val="0"/>
              </w:rPr>
              <w:t xml:space="preserve">044525593</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Банк </w:t>
            </w:r>
            <w:r w:rsidDel="00000000" w:rsidR="00000000" w:rsidRPr="00000000">
              <w:rPr>
                <w:rFonts w:ascii="Calibri" w:cs="Calibri" w:eastAsia="Calibri" w:hAnsi="Calibri"/>
                <w:b w:val="1"/>
                <w:sz w:val="22"/>
                <w:szCs w:val="22"/>
                <w:rtl w:val="0"/>
              </w:rPr>
              <w:t xml:space="preserve">АО "АЛЬФА-БАНК"</w:t>
            </w:r>
            <w:r w:rsidDel="00000000" w:rsidR="00000000" w:rsidRPr="00000000">
              <w:rPr>
                <w:rtl w:val="0"/>
              </w:rPr>
            </w:r>
          </w:p>
          <w:p w:rsidR="00000000" w:rsidDel="00000000" w:rsidP="00000000" w:rsidRDefault="00000000" w:rsidRPr="00000000" w14:paraId="0000003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р/с </w:t>
            </w:r>
            <w:r w:rsidDel="00000000" w:rsidR="00000000" w:rsidRPr="00000000">
              <w:rPr>
                <w:rFonts w:ascii="Calibri" w:cs="Calibri" w:eastAsia="Calibri" w:hAnsi="Calibri"/>
                <w:b w:val="1"/>
                <w:sz w:val="22"/>
                <w:szCs w:val="22"/>
                <w:rtl w:val="0"/>
              </w:rPr>
              <w:t xml:space="preserve">40702810201020000170</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к/с </w:t>
            </w:r>
            <w:r w:rsidDel="00000000" w:rsidR="00000000" w:rsidRPr="00000000">
              <w:rPr>
                <w:rFonts w:ascii="Calibri" w:cs="Calibri" w:eastAsia="Calibri" w:hAnsi="Calibri"/>
                <w:b w:val="1"/>
                <w:sz w:val="22"/>
                <w:szCs w:val="22"/>
                <w:rtl w:val="0"/>
              </w:rPr>
              <w:t xml:space="preserve">30101810200000000593</w:t>
            </w:r>
            <w:r w:rsidDel="00000000" w:rsidR="00000000" w:rsidRPr="00000000">
              <w:rPr>
                <w:rtl w:val="0"/>
              </w:rPr>
            </w:r>
          </w:p>
          <w:p w:rsidR="00000000" w:rsidDel="00000000" w:rsidP="00000000" w:rsidRDefault="00000000" w:rsidRPr="00000000" w14:paraId="00000038">
            <w:pPr>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Электронная почта: </w:t>
            </w:r>
            <w:r w:rsidDel="00000000" w:rsidR="00000000" w:rsidRPr="00000000">
              <w:rPr>
                <w:rFonts w:ascii="Calibri" w:cs="Calibri" w:eastAsia="Calibri" w:hAnsi="Calibri"/>
                <w:b w:val="1"/>
                <w:sz w:val="22"/>
                <w:szCs w:val="22"/>
                <w:rtl w:val="0"/>
              </w:rPr>
              <w:t xml:space="preserve">с доменного имени @dot-dot.ru</w:t>
            </w:r>
          </w:p>
        </w:tc>
      </w:tr>
    </w:tbl>
    <w:p w:rsidR="00000000" w:rsidDel="00000000" w:rsidP="00000000" w:rsidRDefault="00000000" w:rsidRPr="00000000" w14:paraId="00000039">
      <w:pPr>
        <w:rPr>
          <w:rFonts w:ascii="Calibri" w:cs="Calibri" w:eastAsia="Calibri" w:hAnsi="Calibri"/>
          <w:b w:val="1"/>
          <w:smallCaps w:val="1"/>
          <w:sz w:val="22"/>
          <w:szCs w:val="22"/>
        </w:rPr>
      </w:pPr>
      <w:r w:rsidDel="00000000" w:rsidR="00000000" w:rsidRPr="00000000">
        <w:rPr>
          <w:rtl w:val="0"/>
        </w:rPr>
      </w:r>
    </w:p>
    <w:tbl>
      <w:tblPr>
        <w:tblStyle w:val="Table2"/>
        <w:tblW w:w="9608.0" w:type="dxa"/>
        <w:jc w:val="left"/>
        <w:tblInd w:w="-115.0" w:type="dxa"/>
        <w:tblLayout w:type="fixed"/>
        <w:tblLook w:val="0000"/>
      </w:tblPr>
      <w:tblGrid>
        <w:gridCol w:w="4678"/>
        <w:gridCol w:w="4930"/>
        <w:tblGridChange w:id="0">
          <w:tblGrid>
            <w:gridCol w:w="4678"/>
            <w:gridCol w:w="4930"/>
          </w:tblGrid>
        </w:tblGridChange>
      </w:tblGrid>
      <w:tr>
        <w:trPr>
          <w:cantSplit w:val="1"/>
          <w:trHeight w:val="275" w:hRule="atLeast"/>
          <w:tblHeader w:val="0"/>
        </w:trPr>
        <w:tc>
          <w:tcPr/>
          <w:p w:rsidR="00000000" w:rsidDel="00000000" w:rsidP="00000000" w:rsidRDefault="00000000" w:rsidRPr="00000000" w14:paraId="0000003A">
            <w:pPr>
              <w:ind w:right="-108"/>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B">
            <w:pPr>
              <w:ind w:right="-108"/>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C">
            <w:pPr>
              <w:ind w:right="-108"/>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D">
            <w:pPr>
              <w:ind w:right="-108"/>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________________________/________________</w:t>
            </w:r>
            <w:r w:rsidDel="00000000" w:rsidR="00000000" w:rsidRPr="00000000">
              <w:rPr>
                <w:rtl w:val="0"/>
              </w:rPr>
            </w:r>
          </w:p>
        </w:tc>
        <w:tc>
          <w:tcPr/>
          <w:p w:rsidR="00000000" w:rsidDel="00000000" w:rsidP="00000000" w:rsidRDefault="00000000" w:rsidRPr="00000000" w14:paraId="0000003E">
            <w:pPr>
              <w:ind w:right="-28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Генеральный директор ООО "ТОЧКА-ТОЧКА" - Управляющего ООО "ТОЧКА-ТОЧКА ЛОГИСТИКА"</w:t>
            </w:r>
          </w:p>
          <w:p w:rsidR="00000000" w:rsidDel="00000000" w:rsidP="00000000" w:rsidRDefault="00000000" w:rsidRPr="00000000" w14:paraId="0000003F">
            <w:pPr>
              <w:ind w:right="-282"/>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0">
            <w:pPr>
              <w:ind w:right="-108"/>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_____________________________  А.В. Марчук</w:t>
            </w:r>
          </w:p>
        </w:tc>
      </w:tr>
    </w:tbl>
    <w:p w:rsidR="00000000" w:rsidDel="00000000" w:rsidP="00000000" w:rsidRDefault="00000000" w:rsidRPr="00000000" w14:paraId="00000041">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br w:type="textWrapping"/>
        <w:br w:type="textWrapping"/>
        <w:br w:type="textWrapping"/>
        <w:br w:type="textWrapping"/>
        <w:br w:type="textWrapping"/>
      </w:r>
    </w:p>
    <w:sectPr>
      <w:pgSz w:h="16838" w:w="11906" w:orient="portrait"/>
      <w:pgMar w:bottom="567" w:top="567" w:left="1701"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Times New Roman"/>
  <w:font w:name="Georgia"/>
  <w:font w:name="Calibri"/>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Symbo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bullet"/>
      <w:lvlText w:val="●"/>
      <w:lvlJc w:val="left"/>
      <w:pPr>
        <w:ind w:left="1080" w:hanging="720"/>
      </w:pPr>
      <w:rPr>
        <w:rFonts w:ascii="Noto Sans" w:cs="Noto Sans" w:eastAsia="Noto Sans" w:hAnsi="Noto Sans"/>
      </w:rPr>
    </w:lvl>
    <w:lvl w:ilvl="4">
      <w:start w:val="1"/>
      <w:numFmt w:val="decimal"/>
      <w:lvlText w:val="%1.%2.%3.●.%5."/>
      <w:lvlJc w:val="left"/>
      <w:pPr>
        <w:ind w:left="1440" w:hanging="1080"/>
      </w:pPr>
      <w:rPr/>
    </w:lvl>
    <w:lvl w:ilvl="5">
      <w:start w:val="1"/>
      <w:numFmt w:val="decimal"/>
      <w:lvlText w:val="%1.%2.%3.●.%5.%6."/>
      <w:lvlJc w:val="left"/>
      <w:pPr>
        <w:ind w:left="1440" w:hanging="1080"/>
      </w:pPr>
      <w:rPr/>
    </w:lvl>
    <w:lvl w:ilvl="6">
      <w:start w:val="1"/>
      <w:numFmt w:val="decimal"/>
      <w:lvlText w:val="%1.%2.%3.●.%5.%6.%7."/>
      <w:lvlJc w:val="left"/>
      <w:pPr>
        <w:ind w:left="1800" w:hanging="1440"/>
      </w:pPr>
      <w:rPr/>
    </w:lvl>
    <w:lvl w:ilvl="7">
      <w:start w:val="1"/>
      <w:numFmt w:val="decimal"/>
      <w:lvlText w:val="%1.%2.%3.●.%5.%6.%7.%8."/>
      <w:lvlJc w:val="left"/>
      <w:pPr>
        <w:ind w:left="1800" w:hanging="1440"/>
      </w:pPr>
      <w:rPr/>
    </w:lvl>
    <w:lvl w:ilvl="8">
      <w:start w:val="1"/>
      <w:numFmt w:val="decimal"/>
      <w:lvlText w:val="%1.%2.%3.●.%5.%6.%7.%8.%9."/>
      <w:lvlJc w:val="left"/>
      <w:pPr>
        <w:ind w:left="2160" w:hanging="1800"/>
      </w:pPr>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120" w:before="180" w:lineRule="auto"/>
      <w:jc w:val="center"/>
    </w:pPr>
    <w:rPr>
      <w:rFonts w:ascii="Times New Roman" w:cs="Times New Roman" w:eastAsia="Times New Roman" w:hAnsi="Times New Roman"/>
      <w:b w:val="1"/>
      <w:smallCaps w:val="1"/>
      <w:color w:val="000000"/>
      <w:sz w:val="24"/>
      <w:szCs w:val="24"/>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spacing w:after="60" w:lineRule="auto"/>
      <w:ind w:left="60"/>
    </w:pPr>
    <w:rPr>
      <w:b w:val="1"/>
      <w:sz w:val="23"/>
      <w:szCs w:val="23"/>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rsid w:val="00C765DF"/>
  </w:style>
  <w:style w:type="paragraph" w:styleId="1">
    <w:name w:val="heading 1"/>
    <w:basedOn w:val="a"/>
    <w:next w:val="a"/>
    <w:uiPriority w:val="9"/>
    <w:qFormat w:val="1"/>
    <w:pPr>
      <w:keepNext w:val="1"/>
      <w:keepLines w:val="1"/>
      <w:spacing w:after="120" w:before="480"/>
      <w:outlineLvl w:val="0"/>
    </w:pPr>
    <w:rPr>
      <w:b w:val="1"/>
      <w:sz w:val="48"/>
      <w:szCs w:val="48"/>
    </w:rPr>
  </w:style>
  <w:style w:type="paragraph" w:styleId="2">
    <w:name w:val="heading 2"/>
    <w:basedOn w:val="a"/>
    <w:next w:val="a"/>
    <w:link w:val="20"/>
    <w:uiPriority w:val="9"/>
    <w:unhideWhenUsed w:val="1"/>
    <w:qFormat w:val="1"/>
    <w:rsid w:val="001F7709"/>
    <w:pPr>
      <w:keepNext w:val="1"/>
      <w:keepLines w:val="1"/>
      <w:spacing w:before="200"/>
      <w:outlineLvl w:val="1"/>
    </w:pPr>
    <w:rPr>
      <w:rFonts w:asciiTheme="majorHAnsi" w:cstheme="majorBidi" w:eastAsiaTheme="majorEastAsia" w:hAnsiTheme="majorHAnsi"/>
      <w:b w:val="1"/>
      <w:bCs w:val="1"/>
      <w:color w:val="4f81bd" w:themeColor="accent1"/>
      <w:sz w:val="26"/>
      <w:szCs w:val="26"/>
    </w:rPr>
  </w:style>
  <w:style w:type="paragraph" w:styleId="3">
    <w:name w:val="heading 3"/>
    <w:basedOn w:val="2"/>
    <w:next w:val="a"/>
    <w:link w:val="30"/>
    <w:uiPriority w:val="9"/>
    <w:unhideWhenUsed w:val="1"/>
    <w:qFormat w:val="1"/>
    <w:rsid w:val="001F7709"/>
    <w:pPr>
      <w:spacing w:after="120" w:before="180"/>
      <w:jc w:val="center"/>
      <w:outlineLvl w:val="2"/>
    </w:pPr>
    <w:rPr>
      <w:rFonts w:ascii="Times New Roman" w:cs="Arial" w:eastAsia="Times New Roman" w:hAnsi="Times New Roman"/>
      <w:bCs w:val="0"/>
      <w:iCs w:val="1"/>
      <w:caps w:val="1"/>
      <w:color w:val="auto"/>
      <w:sz w:val="24"/>
    </w:rPr>
  </w:style>
  <w:style w:type="paragraph" w:styleId="4">
    <w:name w:val="heading 4"/>
    <w:basedOn w:val="a"/>
    <w:next w:val="a"/>
    <w:uiPriority w:val="9"/>
    <w:unhideWhenUsed w:val="1"/>
    <w:qFormat w:val="1"/>
    <w:pPr>
      <w:keepNext w:val="1"/>
      <w:keepLines w:val="1"/>
      <w:spacing w:after="40" w:before="240"/>
      <w:outlineLvl w:val="3"/>
    </w:pPr>
    <w:rPr>
      <w:b w:val="1"/>
    </w:rPr>
  </w:style>
  <w:style w:type="paragraph" w:styleId="5">
    <w:name w:val="heading 5"/>
    <w:basedOn w:val="a"/>
    <w:next w:val="a"/>
    <w:link w:val="50"/>
    <w:uiPriority w:val="9"/>
    <w:unhideWhenUsed w:val="1"/>
    <w:qFormat w:val="1"/>
    <w:rsid w:val="001F7709"/>
    <w:pPr>
      <w:keepNext w:val="1"/>
      <w:spacing w:after="60"/>
      <w:ind w:left="60"/>
      <w:outlineLvl w:val="4"/>
    </w:pPr>
    <w:rPr>
      <w:b w:val="1"/>
      <w:bCs w:val="1"/>
      <w:sz w:val="23"/>
    </w:rPr>
  </w:style>
  <w:style w:type="paragraph" w:styleId="6">
    <w:name w:val="heading 6"/>
    <w:basedOn w:val="a"/>
    <w:next w:val="a"/>
    <w:uiPriority w:val="9"/>
    <w:semiHidden w:val="1"/>
    <w:unhideWhenUsed w:val="1"/>
    <w:qFormat w:val="1"/>
    <w:pPr>
      <w:keepNext w:val="1"/>
      <w:keepLines w:val="1"/>
      <w:spacing w:after="40" w:before="200"/>
      <w:outlineLvl w:val="5"/>
    </w:pPr>
    <w:rPr>
      <w:b w:val="1"/>
      <w:sz w:val="20"/>
      <w:szCs w:val="20"/>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a4">
    <w:name w:val="List Paragraph"/>
    <w:basedOn w:val="a"/>
    <w:uiPriority w:val="34"/>
    <w:qFormat w:val="1"/>
    <w:rsid w:val="00C765DF"/>
    <w:pPr>
      <w:ind w:left="720"/>
      <w:contextualSpacing w:val="1"/>
    </w:pPr>
  </w:style>
  <w:style w:type="character" w:styleId="30" w:customStyle="1">
    <w:name w:val="Заголовок 3 Знак"/>
    <w:basedOn w:val="a0"/>
    <w:link w:val="3"/>
    <w:rsid w:val="001F7709"/>
    <w:rPr>
      <w:rFonts w:ascii="Times New Roman" w:cs="Arial" w:eastAsia="Times New Roman" w:hAnsi="Times New Roman"/>
      <w:b w:val="1"/>
      <w:iCs w:val="1"/>
      <w:caps w:val="1"/>
      <w:sz w:val="24"/>
      <w:szCs w:val="26"/>
      <w:lang w:eastAsia="ru-RU"/>
    </w:rPr>
  </w:style>
  <w:style w:type="character" w:styleId="50" w:customStyle="1">
    <w:name w:val="Заголовок 5 Знак"/>
    <w:basedOn w:val="a0"/>
    <w:link w:val="5"/>
    <w:rsid w:val="001F7709"/>
    <w:rPr>
      <w:rFonts w:ascii="Times New Roman" w:cs="Times New Roman" w:eastAsia="Times New Roman" w:hAnsi="Times New Roman"/>
      <w:b w:val="1"/>
      <w:bCs w:val="1"/>
      <w:sz w:val="23"/>
      <w:szCs w:val="24"/>
      <w:lang w:eastAsia="ru-RU"/>
    </w:rPr>
  </w:style>
  <w:style w:type="paragraph" w:styleId="a5">
    <w:name w:val="Body Text"/>
    <w:basedOn w:val="a"/>
    <w:link w:val="a6"/>
    <w:rsid w:val="001F7709"/>
    <w:pPr>
      <w:jc w:val="both"/>
    </w:pPr>
    <w:rPr>
      <w:rFonts w:ascii="Courier New" w:cs="Courier New" w:hAnsi="Courier New"/>
      <w:sz w:val="20"/>
    </w:rPr>
  </w:style>
  <w:style w:type="character" w:styleId="a6" w:customStyle="1">
    <w:name w:val="Основной текст Знак"/>
    <w:basedOn w:val="a0"/>
    <w:link w:val="a5"/>
    <w:rsid w:val="001F7709"/>
    <w:rPr>
      <w:rFonts w:ascii="Courier New" w:cs="Courier New" w:eastAsia="Times New Roman" w:hAnsi="Courier New"/>
      <w:sz w:val="20"/>
      <w:szCs w:val="24"/>
      <w:lang w:eastAsia="ru-RU"/>
    </w:rPr>
  </w:style>
  <w:style w:type="paragraph" w:styleId="21">
    <w:name w:val="Body Text Indent 2"/>
    <w:basedOn w:val="a"/>
    <w:link w:val="22"/>
    <w:rsid w:val="001F7709"/>
    <w:pPr>
      <w:tabs>
        <w:tab w:val="left" w:pos="480"/>
      </w:tabs>
      <w:spacing w:after="60"/>
      <w:ind w:left="480" w:hanging="480"/>
      <w:jc w:val="both"/>
    </w:pPr>
    <w:rPr>
      <w:sz w:val="20"/>
    </w:rPr>
  </w:style>
  <w:style w:type="character" w:styleId="22" w:customStyle="1">
    <w:name w:val="Основной текст с отступом 2 Знак"/>
    <w:basedOn w:val="a0"/>
    <w:link w:val="21"/>
    <w:rsid w:val="001F7709"/>
    <w:rPr>
      <w:rFonts w:ascii="Times New Roman" w:cs="Times New Roman" w:eastAsia="Times New Roman" w:hAnsi="Times New Roman"/>
      <w:sz w:val="20"/>
      <w:szCs w:val="24"/>
      <w:lang w:eastAsia="ru-RU"/>
    </w:rPr>
  </w:style>
  <w:style w:type="paragraph" w:styleId="31">
    <w:name w:val="Body Text Indent 3"/>
    <w:basedOn w:val="a"/>
    <w:link w:val="32"/>
    <w:rsid w:val="001F7709"/>
    <w:pPr>
      <w:spacing w:after="60" w:line="360" w:lineRule="auto"/>
      <w:ind w:firstLine="708"/>
      <w:jc w:val="both"/>
    </w:pPr>
    <w:rPr>
      <w:sz w:val="20"/>
    </w:rPr>
  </w:style>
  <w:style w:type="character" w:styleId="32" w:customStyle="1">
    <w:name w:val="Основной текст с отступом 3 Знак"/>
    <w:basedOn w:val="a0"/>
    <w:link w:val="31"/>
    <w:rsid w:val="001F7709"/>
    <w:rPr>
      <w:rFonts w:ascii="Times New Roman" w:cs="Times New Roman" w:eastAsia="Times New Roman" w:hAnsi="Times New Roman"/>
      <w:sz w:val="20"/>
      <w:szCs w:val="24"/>
      <w:lang w:eastAsia="ru-RU"/>
    </w:rPr>
  </w:style>
  <w:style w:type="paragraph" w:styleId="a7">
    <w:name w:val="footer"/>
    <w:basedOn w:val="a"/>
    <w:link w:val="a8"/>
    <w:rsid w:val="001F7709"/>
    <w:pPr>
      <w:tabs>
        <w:tab w:val="center" w:pos="4677"/>
        <w:tab w:val="right" w:pos="9355"/>
      </w:tabs>
      <w:spacing w:after="60"/>
      <w:jc w:val="both"/>
    </w:pPr>
  </w:style>
  <w:style w:type="character" w:styleId="a8" w:customStyle="1">
    <w:name w:val="Нижний колонтитул Знак"/>
    <w:basedOn w:val="a0"/>
    <w:link w:val="a7"/>
    <w:rsid w:val="001F7709"/>
    <w:rPr>
      <w:rFonts w:ascii="Times New Roman" w:cs="Times New Roman" w:eastAsia="Times New Roman" w:hAnsi="Times New Roman"/>
      <w:sz w:val="24"/>
      <w:szCs w:val="24"/>
      <w:lang w:eastAsia="ru-RU"/>
    </w:rPr>
  </w:style>
  <w:style w:type="character" w:styleId="20" w:customStyle="1">
    <w:name w:val="Заголовок 2 Знак"/>
    <w:basedOn w:val="a0"/>
    <w:link w:val="2"/>
    <w:uiPriority w:val="9"/>
    <w:semiHidden w:val="1"/>
    <w:rsid w:val="001F7709"/>
    <w:rPr>
      <w:rFonts w:asciiTheme="majorHAnsi" w:cstheme="majorBidi" w:eastAsiaTheme="majorEastAsia" w:hAnsiTheme="majorHAnsi"/>
      <w:b w:val="1"/>
      <w:bCs w:val="1"/>
      <w:color w:val="4f81bd" w:themeColor="accent1"/>
      <w:sz w:val="26"/>
      <w:szCs w:val="26"/>
      <w:lang w:eastAsia="ru-RU"/>
    </w:rPr>
  </w:style>
  <w:style w:type="paragraph" w:styleId="a9">
    <w:name w:val="annotation text"/>
    <w:basedOn w:val="a"/>
    <w:link w:val="aa"/>
    <w:unhideWhenUsed w:val="1"/>
    <w:rsid w:val="00A85F08"/>
    <w:pPr>
      <w:spacing w:after="200" w:line="276" w:lineRule="auto"/>
    </w:pPr>
    <w:rPr>
      <w:rFonts w:ascii="Calibri" w:eastAsia="Calibri" w:hAnsi="Calibri"/>
      <w:sz w:val="20"/>
      <w:szCs w:val="20"/>
      <w:lang w:eastAsia="en-US"/>
    </w:rPr>
  </w:style>
  <w:style w:type="character" w:styleId="aa" w:customStyle="1">
    <w:name w:val="Текст примечания Знак"/>
    <w:basedOn w:val="a0"/>
    <w:link w:val="a9"/>
    <w:rsid w:val="00A85F08"/>
    <w:rPr>
      <w:rFonts w:ascii="Calibri" w:cs="Times New Roman" w:eastAsia="Calibri" w:hAnsi="Calibri"/>
      <w:sz w:val="20"/>
      <w:szCs w:val="20"/>
    </w:rPr>
  </w:style>
  <w:style w:type="character" w:styleId="ab">
    <w:name w:val="annotation reference"/>
    <w:basedOn w:val="a0"/>
    <w:uiPriority w:val="99"/>
    <w:semiHidden w:val="1"/>
    <w:unhideWhenUsed w:val="1"/>
    <w:rsid w:val="00A85F08"/>
    <w:rPr>
      <w:sz w:val="16"/>
      <w:szCs w:val="16"/>
    </w:rPr>
  </w:style>
  <w:style w:type="paragraph" w:styleId="ac">
    <w:name w:val="annotation subject"/>
    <w:basedOn w:val="a9"/>
    <w:next w:val="a9"/>
    <w:link w:val="ad"/>
    <w:uiPriority w:val="99"/>
    <w:semiHidden w:val="1"/>
    <w:unhideWhenUsed w:val="1"/>
    <w:rsid w:val="00A85F08"/>
    <w:pPr>
      <w:spacing w:after="0" w:line="240" w:lineRule="auto"/>
    </w:pPr>
    <w:rPr>
      <w:rFonts w:ascii="Times New Roman" w:eastAsia="Times New Roman" w:hAnsi="Times New Roman"/>
      <w:b w:val="1"/>
      <w:bCs w:val="1"/>
      <w:lang w:eastAsia="ru-RU"/>
    </w:rPr>
  </w:style>
  <w:style w:type="character" w:styleId="ad" w:customStyle="1">
    <w:name w:val="Тема примечания Знак"/>
    <w:basedOn w:val="aa"/>
    <w:link w:val="ac"/>
    <w:uiPriority w:val="99"/>
    <w:semiHidden w:val="1"/>
    <w:rsid w:val="00A85F08"/>
    <w:rPr>
      <w:rFonts w:ascii="Times New Roman" w:cs="Times New Roman" w:eastAsia="Times New Roman" w:hAnsi="Times New Roman"/>
      <w:b w:val="1"/>
      <w:bCs w:val="1"/>
      <w:sz w:val="20"/>
      <w:szCs w:val="20"/>
      <w:lang w:eastAsia="ru-RU"/>
    </w:rPr>
  </w:style>
  <w:style w:type="paragraph" w:styleId="ae">
    <w:name w:val="Balloon Text"/>
    <w:basedOn w:val="a"/>
    <w:link w:val="af"/>
    <w:uiPriority w:val="99"/>
    <w:semiHidden w:val="1"/>
    <w:unhideWhenUsed w:val="1"/>
    <w:rsid w:val="00A85F08"/>
    <w:rPr>
      <w:rFonts w:ascii="Tahoma" w:cs="Tahoma" w:hAnsi="Tahoma"/>
      <w:sz w:val="16"/>
      <w:szCs w:val="16"/>
    </w:rPr>
  </w:style>
  <w:style w:type="character" w:styleId="af" w:customStyle="1">
    <w:name w:val="Текст выноски Знак"/>
    <w:basedOn w:val="a0"/>
    <w:link w:val="ae"/>
    <w:uiPriority w:val="99"/>
    <w:semiHidden w:val="1"/>
    <w:rsid w:val="00A85F08"/>
    <w:rPr>
      <w:rFonts w:ascii="Tahoma" w:cs="Tahoma" w:eastAsia="Times New Roman" w:hAnsi="Tahoma"/>
      <w:sz w:val="16"/>
      <w:szCs w:val="16"/>
      <w:lang w:eastAsia="ru-RU"/>
    </w:rPr>
  </w:style>
  <w:style w:type="table" w:styleId="af0">
    <w:name w:val="Table Grid"/>
    <w:basedOn w:val="a1"/>
    <w:uiPriority w:val="59"/>
    <w:rsid w:val="00D914B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f1">
    <w:name w:val="header"/>
    <w:basedOn w:val="a"/>
    <w:link w:val="af2"/>
    <w:rsid w:val="00796774"/>
    <w:pPr>
      <w:tabs>
        <w:tab w:val="center" w:pos="4677"/>
        <w:tab w:val="right" w:pos="9355"/>
      </w:tabs>
    </w:pPr>
  </w:style>
  <w:style w:type="character" w:styleId="af2" w:customStyle="1">
    <w:name w:val="Верхний колонтитул Знак"/>
    <w:basedOn w:val="a0"/>
    <w:link w:val="af1"/>
    <w:rsid w:val="00796774"/>
    <w:rPr>
      <w:rFonts w:ascii="Times New Roman" w:cs="Times New Roman" w:eastAsia="Times New Roman" w:hAnsi="Times New Roman"/>
      <w:sz w:val="24"/>
      <w:szCs w:val="24"/>
      <w:lang w:eastAsia="ru-RU"/>
    </w:rPr>
  </w:style>
  <w:style w:type="paragraph" w:styleId="af3">
    <w:name w:val="Revision"/>
    <w:hidden w:val="1"/>
    <w:uiPriority w:val="99"/>
    <w:semiHidden w:val="1"/>
    <w:rsid w:val="000A06DE"/>
  </w:style>
  <w:style w:type="paragraph" w:styleId="af4">
    <w:name w:val="footnote text"/>
    <w:basedOn w:val="a"/>
    <w:link w:val="af5"/>
    <w:uiPriority w:val="99"/>
    <w:semiHidden w:val="1"/>
    <w:unhideWhenUsed w:val="1"/>
    <w:rsid w:val="006523E4"/>
    <w:rPr>
      <w:sz w:val="20"/>
      <w:szCs w:val="20"/>
    </w:rPr>
  </w:style>
  <w:style w:type="character" w:styleId="af5" w:customStyle="1">
    <w:name w:val="Текст сноски Знак"/>
    <w:basedOn w:val="a0"/>
    <w:link w:val="af4"/>
    <w:uiPriority w:val="99"/>
    <w:semiHidden w:val="1"/>
    <w:rsid w:val="006523E4"/>
    <w:rPr>
      <w:rFonts w:ascii="Times New Roman" w:cs="Times New Roman" w:eastAsia="Times New Roman" w:hAnsi="Times New Roman"/>
      <w:sz w:val="20"/>
      <w:szCs w:val="20"/>
      <w:lang w:eastAsia="ru-RU"/>
    </w:rPr>
  </w:style>
  <w:style w:type="character" w:styleId="af6">
    <w:name w:val="footnote reference"/>
    <w:basedOn w:val="a0"/>
    <w:uiPriority w:val="99"/>
    <w:semiHidden w:val="1"/>
    <w:unhideWhenUsed w:val="1"/>
    <w:rsid w:val="006523E4"/>
    <w:rPr>
      <w:vertAlign w:val="superscript"/>
    </w:rPr>
  </w:style>
  <w:style w:type="paragraph" w:styleId="af7">
    <w:name w:val="Body Text Indent"/>
    <w:basedOn w:val="a"/>
    <w:link w:val="af8"/>
    <w:uiPriority w:val="99"/>
    <w:semiHidden w:val="1"/>
    <w:unhideWhenUsed w:val="1"/>
    <w:rsid w:val="00780A2D"/>
    <w:pPr>
      <w:spacing w:after="120"/>
      <w:ind w:left="283"/>
    </w:pPr>
  </w:style>
  <w:style w:type="character" w:styleId="af8" w:customStyle="1">
    <w:name w:val="Основной текст с отступом Знак"/>
    <w:basedOn w:val="a0"/>
    <w:link w:val="af7"/>
    <w:uiPriority w:val="99"/>
    <w:semiHidden w:val="1"/>
    <w:rsid w:val="00780A2D"/>
    <w:rPr>
      <w:rFonts w:ascii="Times New Roman" w:cs="Times New Roman" w:eastAsia="Times New Roman" w:hAnsi="Times New Roman"/>
      <w:sz w:val="24"/>
      <w:szCs w:val="24"/>
      <w:lang w:eastAsia="ru-RU"/>
    </w:rPr>
  </w:style>
  <w:style w:type="paragraph" w:styleId="10" w:customStyle="1">
    <w:name w:val="Знак1"/>
    <w:basedOn w:val="a"/>
    <w:rsid w:val="00780A2D"/>
    <w:pPr>
      <w:spacing w:after="100" w:afterAutospacing="1" w:before="100" w:beforeAutospacing="1"/>
    </w:pPr>
    <w:rPr>
      <w:rFonts w:ascii="Tahoma" w:hAnsi="Tahoma"/>
      <w:sz w:val="20"/>
      <w:szCs w:val="20"/>
      <w:lang w:eastAsia="en-US" w:val="en-US"/>
    </w:rPr>
  </w:style>
  <w:style w:type="paragraph" w:styleId="Comm10" w:customStyle="1">
    <w:name w:val="Comm10"/>
    <w:basedOn w:val="a"/>
    <w:rsid w:val="001D1D8A"/>
    <w:pPr>
      <w:autoSpaceDE w:val="0"/>
      <w:autoSpaceDN w:val="0"/>
    </w:pPr>
    <w:rPr>
      <w:sz w:val="20"/>
      <w:szCs w:val="20"/>
    </w:rPr>
  </w:style>
  <w:style w:type="character" w:styleId="af9">
    <w:name w:val="Hyperlink"/>
    <w:basedOn w:val="a0"/>
    <w:uiPriority w:val="99"/>
    <w:unhideWhenUsed w:val="1"/>
    <w:rsid w:val="001F0784"/>
    <w:rPr>
      <w:color w:val="0000ff" w:themeColor="hyperlink"/>
      <w:u w:val="single"/>
    </w:rPr>
  </w:style>
  <w:style w:type="character" w:styleId="afa">
    <w:name w:val="FollowedHyperlink"/>
    <w:basedOn w:val="a0"/>
    <w:uiPriority w:val="99"/>
    <w:semiHidden w:val="1"/>
    <w:unhideWhenUsed w:val="1"/>
    <w:rsid w:val="00177F15"/>
    <w:rPr>
      <w:color w:val="800080" w:themeColor="followedHyperlink"/>
      <w:u w:val="single"/>
    </w:rPr>
  </w:style>
  <w:style w:type="character" w:styleId="afb">
    <w:name w:val="Unresolved Mention"/>
    <w:basedOn w:val="a0"/>
    <w:uiPriority w:val="99"/>
    <w:semiHidden w:val="1"/>
    <w:unhideWhenUsed w:val="1"/>
    <w:rsid w:val="00177F15"/>
    <w:rPr>
      <w:color w:val="605e5c"/>
      <w:shd w:color="auto" w:fill="e1dfdd" w:val="clear"/>
    </w:rPr>
  </w:style>
  <w:style w:type="paragraph" w:styleId="afc">
    <w:name w:val="Subtitle"/>
    <w:basedOn w:val="a"/>
    <w:next w:val="a"/>
    <w:uiPriority w:val="11"/>
    <w:qFormat w:val="1"/>
    <w:pPr>
      <w:keepNext w:val="1"/>
      <w:keepLines w:val="1"/>
      <w:spacing w:after="80" w:before="360"/>
    </w:pPr>
    <w:rPr>
      <w:rFonts w:ascii="Georgia" w:cs="Georgia" w:eastAsia="Georgia" w:hAnsi="Georgia"/>
      <w:i w:val="1"/>
      <w:color w:val="666666"/>
      <w:sz w:val="48"/>
      <w:szCs w:val="48"/>
    </w:rPr>
  </w:style>
  <w:style w:type="table" w:styleId="afd" w:customStyle="1">
    <w:basedOn w:val="TableNormal0"/>
    <w:tblPr>
      <w:tblStyleRowBandSize w:val="1"/>
      <w:tblStyleColBandSize w:val="1"/>
      <w:tblCellMar>
        <w:left w:w="115.0" w:type="dxa"/>
        <w:right w:w="115.0" w:type="dxa"/>
      </w:tblCellMar>
    </w:tblPr>
  </w:style>
  <w:style w:type="table" w:styleId="afe" w:customStyle="1">
    <w:basedOn w:val="TableNormal0"/>
    <w:tblPr>
      <w:tblStyleRowBandSize w:val="1"/>
      <w:tblStyleColBandSize w:val="1"/>
      <w:tblCellMar>
        <w:left w:w="115.0" w:type="dxa"/>
        <w:right w:w="115.0" w:type="dxa"/>
      </w:tblCellMar>
    </w:tblPr>
  </w:style>
  <w:style w:type="table" w:styleId="aff" w:customStyle="1">
    <w:basedOn w:val="TableNormal0"/>
    <w:tblPr>
      <w:tblStyleRowBandSize w:val="1"/>
      <w:tblStyleColBandSize w:val="1"/>
      <w:tblCellMar>
        <w:left w:w="115.0" w:type="dxa"/>
        <w:right w:w="115.0" w:type="dxa"/>
      </w:tblCellMar>
    </w:tblPr>
  </w:style>
  <w:style w:type="table" w:styleId="aff0" w:customStyle="1">
    <w:basedOn w:val="TableNormal0"/>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gqmsRjPHZpBzAlBh0gSHXhrBNMw==">AMUW2mW6MDZtXT2zJzGAhyaz87L7dV/Ki8q/DwU6qUm3e4qJ4rMdZJJT2kClOm+hQugx352wqj+8TNWl5+kLFxMNJb4ABbGkyZrYpvonB8tnMImDLgeY41w=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2022-11-23T14:23:00Z</dcterms:created>
  <dc:creator>nminyaev</dc:creator>
</cp:coreProperties>
</file>