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ПАРТНЕРСКИЙ ДОГОВОР</w:t>
      </w:r>
    </w:p>
    <w:p w:rsidR="00000000" w:rsidDel="00000000" w:rsidP="00000000" w:rsidRDefault="00000000" w:rsidRPr="00000000" w14:paraId="0000000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привлечение клиентов № ТТЛ - ___ (далее – Договор)</w:t>
      </w:r>
    </w:p>
    <w:p w:rsidR="00000000" w:rsidDel="00000000" w:rsidP="00000000" w:rsidRDefault="00000000" w:rsidRPr="00000000" w14:paraId="00000003">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г. Москва</w:t>
        <w:tab/>
        <w:tab/>
        <w:tab/>
        <w:tab/>
        <w:tab/>
        <w:tab/>
        <w:tab/>
        <w:tab/>
        <w:t xml:space="preserve">       «__» ____________2023 г.</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tabs>
          <w:tab w:val="left" w:leader="none" w:pos="180"/>
          <w:tab w:val="left" w:leader="none" w:pos="900"/>
        </w:tabs>
        <w:spacing w:after="200" w:lineRule="auto"/>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___________________________________________________________</w:t>
      </w:r>
      <w:r w:rsidDel="00000000" w:rsidR="00000000" w:rsidRPr="00000000">
        <w:rPr>
          <w:rFonts w:ascii="Calibri" w:cs="Calibri" w:eastAsia="Calibri" w:hAnsi="Calibri"/>
          <w:sz w:val="22"/>
          <w:szCs w:val="22"/>
          <w:rtl w:val="0"/>
        </w:rPr>
        <w:t xml:space="preserve">, именуем__ в дальнейшем «</w:t>
      </w:r>
      <w:r w:rsidDel="00000000" w:rsidR="00000000" w:rsidRPr="00000000">
        <w:rPr>
          <w:rFonts w:ascii="Calibri" w:cs="Calibri" w:eastAsia="Calibri" w:hAnsi="Calibri"/>
          <w:b w:val="1"/>
          <w:sz w:val="22"/>
          <w:szCs w:val="22"/>
          <w:rtl w:val="0"/>
        </w:rPr>
        <w:t xml:space="preserve">Партнер</w:t>
      </w:r>
      <w:r w:rsidDel="00000000" w:rsidR="00000000" w:rsidRPr="00000000">
        <w:rPr>
          <w:rFonts w:ascii="Calibri" w:cs="Calibri" w:eastAsia="Calibri" w:hAnsi="Calibri"/>
          <w:sz w:val="22"/>
          <w:szCs w:val="22"/>
          <w:rtl w:val="0"/>
        </w:rPr>
        <w:t xml:space="preserve">» с одной стороны и </w:t>
      </w:r>
      <w:r w:rsidDel="00000000" w:rsidR="00000000" w:rsidRPr="00000000">
        <w:rPr>
          <w:rFonts w:ascii="Calibri" w:cs="Calibri" w:eastAsia="Calibri" w:hAnsi="Calibri"/>
          <w:b w:val="1"/>
          <w:sz w:val="22"/>
          <w:szCs w:val="22"/>
          <w:rtl w:val="0"/>
        </w:rPr>
        <w:t xml:space="preserve">ООО «ТОЧКА-ТОЧКА ЛОГИСТИКА», </w:t>
      </w:r>
      <w:r w:rsidDel="00000000" w:rsidR="00000000" w:rsidRPr="00000000">
        <w:rPr>
          <w:rFonts w:ascii="Calibri" w:cs="Calibri" w:eastAsia="Calibri" w:hAnsi="Calibri"/>
          <w:sz w:val="22"/>
          <w:szCs w:val="22"/>
          <w:rtl w:val="0"/>
        </w:rPr>
        <w:t xml:space="preserve">именуемое в дальнейшем «</w:t>
      </w:r>
      <w:r w:rsidDel="00000000" w:rsidR="00000000" w:rsidRPr="00000000">
        <w:rPr>
          <w:rFonts w:ascii="Calibri" w:cs="Calibri" w:eastAsia="Calibri" w:hAnsi="Calibri"/>
          <w:b w:val="1"/>
          <w:sz w:val="22"/>
          <w:szCs w:val="22"/>
          <w:rtl w:val="0"/>
        </w:rPr>
        <w:t xml:space="preserve">ТТЛ</w:t>
      </w:r>
      <w:r w:rsidDel="00000000" w:rsidR="00000000" w:rsidRPr="00000000">
        <w:rPr>
          <w:rFonts w:ascii="Calibri" w:cs="Calibri" w:eastAsia="Calibri" w:hAnsi="Calibri"/>
          <w:sz w:val="22"/>
          <w:szCs w:val="22"/>
          <w:rtl w:val="0"/>
        </w:rPr>
        <w:t xml:space="preserve">», в лице управляющего ООО «ТОЧКА-ТОЧКА», действующего на основании Договора передачи полномочий единоличного исполнительного органа от 26.07.2019г., в лице Генерального директора А.В. Марчука, действующего на основании Устава с другой стороны, совместно именуемые «</w:t>
      </w:r>
      <w:r w:rsidDel="00000000" w:rsidR="00000000" w:rsidRPr="00000000">
        <w:rPr>
          <w:rFonts w:ascii="Calibri" w:cs="Calibri" w:eastAsia="Calibri" w:hAnsi="Calibri"/>
          <w:b w:val="1"/>
          <w:sz w:val="22"/>
          <w:szCs w:val="22"/>
          <w:rtl w:val="0"/>
        </w:rPr>
        <w:t xml:space="preserve">Стороны</w:t>
      </w:r>
      <w:r w:rsidDel="00000000" w:rsidR="00000000" w:rsidRPr="00000000">
        <w:rPr>
          <w:rFonts w:ascii="Calibri" w:cs="Calibri" w:eastAsia="Calibri" w:hAnsi="Calibri"/>
          <w:sz w:val="22"/>
          <w:szCs w:val="22"/>
          <w:rtl w:val="0"/>
        </w:rPr>
        <w:t xml:space="preserve">», заключили Договор о нижеследующем:</w:t>
      </w:r>
    </w:p>
    <w:p w:rsidR="00000000" w:rsidDel="00000000" w:rsidP="00000000" w:rsidRDefault="00000000" w:rsidRPr="00000000" w14:paraId="00000007">
      <w:pPr>
        <w:pStyle w:val="Heading3"/>
        <w:numPr>
          <w:ilvl w:val="0"/>
          <w:numId w:val="1"/>
        </w:numPr>
        <w:tabs>
          <w:tab w:val="left" w:leader="none" w:pos="567"/>
        </w:tabs>
        <w:spacing w:after="200" w:before="120" w:lineRule="auto"/>
        <w:ind w:left="720" w:hanging="360"/>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ОСНОВНЫЕ ПОЛОЖЕНИЯ</w:t>
      </w:r>
    </w:p>
    <w:p w:rsidR="00000000" w:rsidDel="00000000" w:rsidP="00000000" w:rsidRDefault="00000000" w:rsidRPr="00000000" w14:paraId="0000000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567" w:right="0" w:hanging="567"/>
        <w:jc w:val="both"/>
        <w:rPr>
          <w:rFonts w:ascii="Calibri" w:cs="Calibri" w:eastAsia="Calibri" w:hAnsi="Calibri"/>
          <w:b w:val="0"/>
          <w:i w:val="0"/>
          <w:smallCaps w:val="0"/>
          <w:strike w:val="0"/>
          <w:color w:val="000000"/>
          <w:sz w:val="22"/>
          <w:szCs w:val="22"/>
          <w:highlight w:val="whit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Партнер оказывает ТТЛ услуги, способствующие </w:t>
      </w:r>
      <w:r w:rsidDel="00000000" w:rsidR="00000000" w:rsidRPr="00000000">
        <w:rPr>
          <w:rFonts w:ascii="Calibri" w:cs="Calibri" w:eastAsia="Calibri" w:hAnsi="Calibri"/>
          <w:sz w:val="22"/>
          <w:szCs w:val="22"/>
          <w:highlight w:val="white"/>
          <w:rtl w:val="0"/>
        </w:rPr>
        <w:t xml:space="preserve">привлечению Клиента и оформлению им Заказа (привлечение и исполнение Перевозчиком Заявки - обязанность ТТЛ), при этом услуга считается оказанной Партнером, после подписания Клиентом и предоставления в адрес ТТЛ оригинала универсального передаточного документа (далее - УПД), подтверждающего выполнение Заказа Клиента и оплаты Клиентом Заказа в полном объеме.</w:t>
      </w:r>
    </w:p>
    <w:p w:rsidR="00000000" w:rsidDel="00000000" w:rsidP="00000000" w:rsidRDefault="00000000" w:rsidRPr="00000000" w14:paraId="00000009">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highlight w:val="white"/>
        </w:rPr>
      </w:pPr>
      <w:r w:rsidDel="00000000" w:rsidR="00000000" w:rsidRPr="00000000">
        <w:rPr>
          <w:rFonts w:ascii="Calibri" w:cs="Calibri" w:eastAsia="Calibri" w:hAnsi="Calibri"/>
          <w:sz w:val="22"/>
          <w:szCs w:val="22"/>
          <w:highlight w:val="white"/>
          <w:rtl w:val="0"/>
        </w:rPr>
        <w:t xml:space="preserve">Партнер самостоятельно использует пользовательский функционал программы для ЭВМ: «Цифровая платформа распределения грузов среди перевозчиков на принципах шеринга и свободной конкуренции с использованием AI и IoT»  (далее – Платформа); доступ к которой осуществляется посредством интернет страницы www.dot-dot.ru) на условиях простой неисключительной безвозмездной лицензии (предоставляемой на срок действия настоящего Договора) путем ввода логина и пароля (предоставленного по адресу электронной почты Партнера указанному в настоящем Договоре) для доступа в личный кабинет (далее – ЛК). Логин и пароль являются аналогом простой электронной подписи Партнера. </w:t>
      </w:r>
      <w:r w:rsidDel="00000000" w:rsidR="00000000" w:rsidRPr="00000000">
        <w:rPr>
          <w:rtl w:val="0"/>
        </w:rPr>
      </w:r>
    </w:p>
    <w:p w:rsidR="00000000" w:rsidDel="00000000" w:rsidP="00000000" w:rsidRDefault="00000000" w:rsidRPr="00000000" w14:paraId="0000000A">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highlight w:val="white"/>
        </w:rPr>
      </w:pPr>
      <w:r w:rsidDel="00000000" w:rsidR="00000000" w:rsidRPr="00000000">
        <w:rPr>
          <w:rFonts w:ascii="Calibri" w:cs="Calibri" w:eastAsia="Calibri" w:hAnsi="Calibri"/>
          <w:color w:val="000000"/>
          <w:sz w:val="22"/>
          <w:szCs w:val="22"/>
          <w:highlight w:val="white"/>
          <w:rtl w:val="0"/>
        </w:rPr>
        <w:t xml:space="preserve">Оплата услуг осуществляется ежемесячно исходя из фактически оказанных услуг (</w:t>
      </w:r>
      <w:r w:rsidDel="00000000" w:rsidR="00000000" w:rsidRPr="00000000">
        <w:rPr>
          <w:rFonts w:ascii="Calibri" w:cs="Calibri" w:eastAsia="Calibri" w:hAnsi="Calibri"/>
          <w:color w:val="000000"/>
          <w:sz w:val="22"/>
          <w:szCs w:val="22"/>
          <w:highlight w:val="white"/>
          <w:rtl w:val="0"/>
        </w:rPr>
        <w:t xml:space="preserve">на основании предоставленн</w:t>
      </w:r>
      <w:r w:rsidDel="00000000" w:rsidR="00000000" w:rsidRPr="00000000">
        <w:rPr>
          <w:rFonts w:ascii="Calibri" w:cs="Calibri" w:eastAsia="Calibri" w:hAnsi="Calibri"/>
          <w:sz w:val="22"/>
          <w:szCs w:val="22"/>
          <w:highlight w:val="white"/>
          <w:rtl w:val="0"/>
        </w:rPr>
        <w:t xml:space="preserve">ых</w:t>
      </w:r>
      <w:r w:rsidDel="00000000" w:rsidR="00000000" w:rsidRPr="00000000">
        <w:rPr>
          <w:rFonts w:ascii="Calibri" w:cs="Calibri" w:eastAsia="Calibri" w:hAnsi="Calibri"/>
          <w:color w:val="000000"/>
          <w:sz w:val="22"/>
          <w:szCs w:val="22"/>
          <w:highlight w:val="white"/>
          <w:rtl w:val="0"/>
        </w:rPr>
        <w:t xml:space="preserve"> </w:t>
      </w:r>
      <w:r w:rsidDel="00000000" w:rsidR="00000000" w:rsidRPr="00000000">
        <w:rPr>
          <w:rFonts w:ascii="Calibri" w:cs="Calibri" w:eastAsia="Calibri" w:hAnsi="Calibri"/>
          <w:sz w:val="22"/>
          <w:szCs w:val="22"/>
          <w:highlight w:val="white"/>
          <w:rtl w:val="0"/>
        </w:rPr>
        <w:t xml:space="preserve">Клиентом </w:t>
      </w:r>
      <w:r w:rsidDel="00000000" w:rsidR="00000000" w:rsidRPr="00000000">
        <w:rPr>
          <w:rFonts w:ascii="Calibri" w:cs="Calibri" w:eastAsia="Calibri" w:hAnsi="Calibri"/>
          <w:sz w:val="22"/>
          <w:szCs w:val="22"/>
          <w:highlight w:val="white"/>
          <w:rtl w:val="0"/>
        </w:rPr>
        <w:t xml:space="preserve">оригиналов УПД и оплаты выполненных Заказов</w:t>
      </w:r>
      <w:r w:rsidDel="00000000" w:rsidR="00000000" w:rsidRPr="00000000">
        <w:rPr>
          <w:rFonts w:ascii="Calibri" w:cs="Calibri" w:eastAsia="Calibri" w:hAnsi="Calibri"/>
          <w:color w:val="000000"/>
          <w:sz w:val="22"/>
          <w:szCs w:val="22"/>
          <w:highlight w:val="white"/>
          <w:rtl w:val="0"/>
        </w:rPr>
        <w:t xml:space="preserve">) на основании Акта оказанных услуг (далее – Акт) в течение 3 (Трех) банковских дней с даты предоставления Партнером в адрес ТТЛ оригинала Акта, при условии его подписания обеими Сторонами</w:t>
      </w:r>
      <w:r w:rsidDel="00000000" w:rsidR="00000000" w:rsidRPr="00000000">
        <w:rPr>
          <w:rFonts w:ascii="Calibri" w:cs="Calibri" w:eastAsia="Calibri" w:hAnsi="Calibri"/>
          <w:sz w:val="22"/>
          <w:szCs w:val="22"/>
          <w:highlight w:val="white"/>
          <w:rtl w:val="0"/>
        </w:rPr>
        <w:t xml:space="preserve">.</w:t>
      </w:r>
      <w:r w:rsidDel="00000000" w:rsidR="00000000" w:rsidRPr="00000000">
        <w:rPr>
          <w:rFonts w:ascii="Calibri" w:cs="Calibri" w:eastAsia="Calibri" w:hAnsi="Calibri"/>
          <w:color w:val="000000"/>
          <w:sz w:val="22"/>
          <w:szCs w:val="22"/>
          <w:highlight w:val="white"/>
          <w:rtl w:val="0"/>
        </w:rPr>
        <w:t xml:space="preserve"> </w:t>
      </w:r>
    </w:p>
    <w:p w:rsidR="00000000" w:rsidDel="00000000" w:rsidP="00000000" w:rsidRDefault="00000000" w:rsidRPr="00000000" w14:paraId="0000000B">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highlight w:val="white"/>
        </w:rPr>
      </w:pPr>
      <w:r w:rsidDel="00000000" w:rsidR="00000000" w:rsidRPr="00000000">
        <w:rPr>
          <w:rFonts w:ascii="Calibri" w:cs="Calibri" w:eastAsia="Calibri" w:hAnsi="Calibri"/>
          <w:color w:val="000000"/>
          <w:sz w:val="22"/>
          <w:szCs w:val="22"/>
          <w:highlight w:val="white"/>
          <w:rtl w:val="0"/>
        </w:rPr>
        <w:t xml:space="preserve">ТТЛ оплачивает услуги Партнера</w:t>
      </w:r>
      <w:r w:rsidDel="00000000" w:rsidR="00000000" w:rsidRPr="00000000">
        <w:rPr>
          <w:rFonts w:ascii="Calibri" w:cs="Calibri" w:eastAsia="Calibri" w:hAnsi="Calibri"/>
          <w:sz w:val="22"/>
          <w:szCs w:val="22"/>
          <w:highlight w:val="white"/>
          <w:rtl w:val="0"/>
        </w:rPr>
        <w:t xml:space="preserve">:</w:t>
      </w:r>
      <w:r w:rsidDel="00000000" w:rsidR="00000000" w:rsidRPr="00000000">
        <w:rPr>
          <w:rtl w:val="0"/>
        </w:rPr>
      </w:r>
    </w:p>
    <w:p w:rsidR="00000000" w:rsidDel="00000000" w:rsidP="00000000" w:rsidRDefault="00000000" w:rsidRPr="00000000" w14:paraId="0000000C">
      <w:pPr>
        <w:numPr>
          <w:ilvl w:val="2"/>
          <w:numId w:val="2"/>
        </w:numPr>
        <w:pBdr>
          <w:top w:space="0" w:sz="0" w:val="nil"/>
          <w:left w:space="0" w:sz="0" w:val="nil"/>
          <w:bottom w:space="0" w:sz="0" w:val="nil"/>
          <w:right w:space="0" w:sz="0" w:val="nil"/>
          <w:between w:space="0" w:sz="0" w:val="nil"/>
        </w:pBdr>
        <w:ind w:left="1080" w:hanging="72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За каждый выполненный Заказ - разность между ценой Заказа без НДС (за вычетом стоимости (без НДС): страхования, отсрочки, если предоставлена), стоимостью перевозки без НДС, а также </w:t>
      </w:r>
      <w:r w:rsidDel="00000000" w:rsidR="00000000" w:rsidRPr="00000000">
        <w:rPr>
          <w:rFonts w:ascii="Calibri" w:cs="Calibri" w:eastAsia="Calibri" w:hAnsi="Calibri"/>
          <w:sz w:val="22"/>
          <w:szCs w:val="22"/>
          <w:highlight w:val="white"/>
          <w:rtl w:val="0"/>
        </w:rPr>
        <w:t xml:space="preserve">10</w:t>
      </w:r>
      <w:r w:rsidDel="00000000" w:rsidR="00000000" w:rsidRPr="00000000">
        <w:rPr>
          <w:rFonts w:ascii="Calibri" w:cs="Calibri" w:eastAsia="Calibri" w:hAnsi="Calibri"/>
          <w:sz w:val="22"/>
          <w:szCs w:val="22"/>
          <w:highlight w:val="white"/>
          <w:rtl w:val="0"/>
        </w:rPr>
        <w:t xml:space="preserve">% от стоимости перевозки без НДС</w:t>
      </w:r>
      <w:r w:rsidDel="00000000" w:rsidR="00000000" w:rsidRPr="00000000">
        <w:rPr>
          <w:rFonts w:ascii="Calibri" w:cs="Calibri" w:eastAsia="Calibri" w:hAnsi="Calibri"/>
          <w:sz w:val="22"/>
          <w:szCs w:val="22"/>
          <w:highlight w:val="white"/>
          <w:rtl w:val="0"/>
        </w:rPr>
        <w:t xml:space="preserve">.</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jc w:val="both"/>
        <w:rPr>
          <w:rFonts w:ascii="Calibri" w:cs="Calibri" w:eastAsia="Calibri" w:hAnsi="Calibri"/>
          <w:i w:val="1"/>
          <w:sz w:val="22"/>
          <w:szCs w:val="22"/>
          <w:highlight w:val="white"/>
        </w:rPr>
      </w:pPr>
      <w:r w:rsidDel="00000000" w:rsidR="00000000" w:rsidRPr="00000000">
        <w:rPr>
          <w:rFonts w:ascii="Calibri" w:cs="Calibri" w:eastAsia="Calibri" w:hAnsi="Calibri"/>
          <w:i w:val="1"/>
          <w:sz w:val="22"/>
          <w:szCs w:val="22"/>
          <w:highlight w:val="white"/>
          <w:rtl w:val="0"/>
        </w:rPr>
        <w:t xml:space="preserve">Пример: </w:t>
      </w:r>
      <w:r w:rsidDel="00000000" w:rsidR="00000000" w:rsidRPr="00000000">
        <w:rPr>
          <w:rFonts w:ascii="Calibri" w:cs="Calibri" w:eastAsia="Calibri" w:hAnsi="Calibri"/>
          <w:i w:val="1"/>
          <w:sz w:val="22"/>
          <w:szCs w:val="22"/>
          <w:highlight w:val="white"/>
          <w:rtl w:val="0"/>
        </w:rPr>
        <w:t xml:space="preserve">Цена Заказа 45000 рублей. Цена страховки 500 рублей. Цена отсрочки 675 рублей. Стоимость перевозки 30000 рублей. Услуги Партнера оплачиваются из расчета (45000 - 500 - 675) - 30000 - (30000 х 10%) = 10825 рублей. Расчеты представлены без учета НДС.</w:t>
      </w:r>
      <w:r w:rsidDel="00000000" w:rsidR="00000000" w:rsidRPr="00000000">
        <w:rPr>
          <w:rtl w:val="0"/>
        </w:rPr>
      </w:r>
    </w:p>
    <w:p w:rsidR="00000000" w:rsidDel="00000000" w:rsidP="00000000" w:rsidRDefault="00000000" w:rsidRPr="00000000" w14:paraId="0000000E">
      <w:pPr>
        <w:numPr>
          <w:ilvl w:val="1"/>
          <w:numId w:val="2"/>
        </w:numPr>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Датой оплаты считается дата списания денежных средств с расчетного счета ТТЛ.</w:t>
      </w:r>
    </w:p>
    <w:p w:rsidR="00000000" w:rsidDel="00000000" w:rsidP="00000000" w:rsidRDefault="00000000" w:rsidRPr="00000000" w14:paraId="0000000F">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случае если Партнер является плательщиком НДС, в соответствии с налоговым законодательством РФ, НДС рассчитывается сверх суммы, указанной без НДС.</w:t>
      </w:r>
    </w:p>
    <w:p w:rsidR="00000000" w:rsidDel="00000000" w:rsidP="00000000" w:rsidRDefault="00000000" w:rsidRPr="00000000" w14:paraId="00000010">
      <w:pPr>
        <w:numPr>
          <w:ilvl w:val="1"/>
          <w:numId w:val="2"/>
        </w:numPr>
        <w:spacing w:after="200" w:lineRule="auto"/>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случае применения Партнером специального налогового режима «Налог на профессиональный доход» (Федеральный закон от 27.11.2018 N 422-ФЗ). Партнер, на каждую выплаченную по Договору сумму, обязуется передать ТТЛ чек (в электронном виде – направив на электронный адрес av@dot-dot.ru), сформированный при получении оплаты на свой расчетный счет. В случае прекращения использования Партнером права на применение специального налогового режима "Налог на профессиональный доход" Партнер обязуется сообщить об этом ТТЛ в течение одного календарного дня с даты прекращения применения спец. режима. До заключения Договора Партнер обязуется предоставить ТТЛ документ, подтверждающий, применение специального налогового режима. Партнер обязан уведомить ТТЛ в случае, если его доход за предыдущий календарный год превысит 2400000 (Два миллиона четыреста тысяч) рублей. </w:t>
      </w:r>
    </w:p>
    <w:p w:rsidR="00000000" w:rsidDel="00000000" w:rsidP="00000000" w:rsidRDefault="00000000" w:rsidRPr="00000000" w14:paraId="00000011">
      <w:pPr>
        <w:pStyle w:val="Heading3"/>
        <w:numPr>
          <w:ilvl w:val="0"/>
          <w:numId w:val="2"/>
        </w:numPr>
        <w:tabs>
          <w:tab w:val="left" w:leader="none" w:pos="567"/>
        </w:tabs>
        <w:spacing w:after="200" w:before="12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ПОРЯДОК РАСТОРЖЕНИЯ И СРОК ДЕЙСТВИЯ ДОГОВОРА</w:t>
      </w:r>
    </w:p>
    <w:p w:rsidR="00000000" w:rsidDel="00000000" w:rsidP="00000000" w:rsidRDefault="00000000" w:rsidRPr="00000000" w14:paraId="00000012">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Договор заключен на один год, вступает в силу с момента его подписания Сторонами и действует до его прекращения по основаниям, предусмотренным Договором или законодательством РФ. В случае, если по истечении года ни одна из Сторон не заявит в письменном виде о его расторжении, </w:t>
      </w:r>
      <w:r w:rsidDel="00000000" w:rsidR="00000000" w:rsidRPr="00000000">
        <w:rPr>
          <w:rFonts w:ascii="Calibri" w:cs="Calibri" w:eastAsia="Calibri" w:hAnsi="Calibri"/>
          <w:sz w:val="22"/>
          <w:szCs w:val="22"/>
          <w:rtl w:val="0"/>
        </w:rPr>
        <w:t xml:space="preserve">Д</w:t>
      </w:r>
      <w:r w:rsidDel="00000000" w:rsidR="00000000" w:rsidRPr="00000000">
        <w:rPr>
          <w:rFonts w:ascii="Calibri" w:cs="Calibri" w:eastAsia="Calibri" w:hAnsi="Calibri"/>
          <w:color w:val="000000"/>
          <w:sz w:val="22"/>
          <w:szCs w:val="22"/>
          <w:rtl w:val="0"/>
        </w:rPr>
        <w:t xml:space="preserve">оговор будет считаться пролонгированным еще на один год.</w:t>
      </w:r>
    </w:p>
    <w:p w:rsidR="00000000" w:rsidDel="00000000" w:rsidP="00000000" w:rsidRDefault="00000000" w:rsidRPr="00000000" w14:paraId="00000013">
      <w:pPr>
        <w:numPr>
          <w:ilvl w:val="1"/>
          <w:numId w:val="2"/>
        </w:numPr>
        <w:pBdr>
          <w:top w:space="0" w:sz="0" w:val="nil"/>
          <w:left w:space="0" w:sz="0" w:val="nil"/>
          <w:bottom w:space="0" w:sz="0" w:val="nil"/>
          <w:right w:space="0" w:sz="0" w:val="nil"/>
          <w:between w:space="0" w:sz="0" w:val="nil"/>
        </w:pBdr>
        <w:spacing w:after="200" w:lineRule="auto"/>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Договор, может быть прекращен досрочно по письменному соглашению Сторон. </w:t>
      </w:r>
      <w:r w:rsidDel="00000000" w:rsidR="00000000" w:rsidRPr="00000000">
        <w:rPr>
          <w:rFonts w:ascii="Calibri" w:cs="Calibri" w:eastAsia="Calibri" w:hAnsi="Calibri"/>
          <w:sz w:val="22"/>
          <w:szCs w:val="22"/>
          <w:rtl w:val="0"/>
        </w:rPr>
        <w:t xml:space="preserve">Каждая из Сторон вправе в одностороннем внесудебном порядке отказаться от исполнения Договора, уведомив другую сторону об этом за 5 (Пять) рабочих дней.</w:t>
      </w:r>
      <w:r w:rsidDel="00000000" w:rsidR="00000000" w:rsidRPr="00000000">
        <w:rPr>
          <w:rtl w:val="0"/>
        </w:rPr>
      </w:r>
    </w:p>
    <w:p w:rsidR="00000000" w:rsidDel="00000000" w:rsidP="00000000" w:rsidRDefault="00000000" w:rsidRPr="00000000" w14:paraId="00000014">
      <w:pPr>
        <w:pStyle w:val="Heading3"/>
        <w:numPr>
          <w:ilvl w:val="0"/>
          <w:numId w:val="2"/>
        </w:numPr>
        <w:tabs>
          <w:tab w:val="left" w:leader="none" w:pos="567"/>
        </w:tabs>
        <w:spacing w:after="200" w:before="12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ПРОЧИЕ УСЛОВИЯ </w:t>
      </w:r>
    </w:p>
    <w:p w:rsidR="00000000" w:rsidDel="00000000" w:rsidP="00000000" w:rsidRDefault="00000000" w:rsidRPr="00000000" w14:paraId="00000015">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случае немотивированного нарушения ТТЛ сроков оплаты Партнер вправе потребовать уплаты пени из расчета 0,01% за каждый день просрочки.</w:t>
      </w:r>
    </w:p>
    <w:p w:rsidR="00000000" w:rsidDel="00000000" w:rsidP="00000000" w:rsidRDefault="00000000" w:rsidRPr="00000000" w14:paraId="00000016">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случае нарушения п.п. 3.5 - 3.9 Договора нарушившая Сторона обязуется возместить ущерб пострадавшей Стороне в течение 5 (Пяти) рабочих дней с момента направления соответствующего требования по электронной почте.</w:t>
      </w:r>
    </w:p>
    <w:p w:rsidR="00000000" w:rsidDel="00000000" w:rsidP="00000000" w:rsidRDefault="00000000" w:rsidRPr="00000000" w14:paraId="00000017">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ТТЛ может по своему усмотрению в любое время без дополнительного уведомления изменять функционал, интерфейс, алгоритм работы Платформы, проводить работы, во время которых Платформа (работает по принципу «as is») может быть недоступна для использования, что не является основанием для привлечения ТТЛ к ответственности и взыскания убытков, возникших в связи со сбоем в работе, ошибками и прочее.</w:t>
      </w:r>
      <w:r w:rsidDel="00000000" w:rsidR="00000000" w:rsidRPr="00000000">
        <w:rPr>
          <w:rtl w:val="0"/>
        </w:rPr>
      </w:r>
    </w:p>
    <w:p w:rsidR="00000000" w:rsidDel="00000000" w:rsidP="00000000" w:rsidRDefault="00000000" w:rsidRPr="00000000" w14:paraId="00000018">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Все действия и переписка Сторон: на Платформе, по адресам электронной почты, номерам телефонов (вкл. смс, мессенджеры) – имеют юридическую силу и считаются юридически значимыми и исходящими от надлежащим образом уполномоченных лиц соответствующей Стороны, а также в том случае, когда они не содержат сведений об отправителе и являются надлежащим доказательством в случае возникновения любых споров. Электронные образы документов, размещенные Стороной в ЛК/направленные по электронной почте, считаются совершенными в письменной форме и подписанными простой электронной подписью уполномоченного лица отправляющей Стороны. В случае размещения в ЛК/направления уведомлений по электронной почте/номеру телефонов (включая мессенджеры), Сторона считается уведомленной надлежащим образом с момента отправки уведомления. Под мессенджерами Стороны понимают: Viber, Telegram и прочее.</w:t>
      </w:r>
      <w:r w:rsidDel="00000000" w:rsidR="00000000" w:rsidRPr="00000000">
        <w:rPr>
          <w:rtl w:val="0"/>
        </w:rPr>
      </w:r>
    </w:p>
    <w:p w:rsidR="00000000" w:rsidDel="00000000" w:rsidP="00000000" w:rsidRDefault="00000000" w:rsidRPr="00000000" w14:paraId="00000019">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Стороны дают безусловное согласие на обработку, хранение, передачу и использование персональных данных лиц, участвующих в оказании услуг, а также на рассылку sms, push, онлайн-чеков и иных уведомлений связанных с оказанием услуг по Договору. При предоставлении Сторонами данных третьих лиц Стороны гарантируют, что согласие третьих лиц ими получено. Сторона, получившая персональные данные обязуется обеспечить надежность их обработки в соответствии с требованием законодательства РФ. Сторона, не исполнившая данные условия, несет ответственность в случае предъявления каких-либо претензий другой Стороне. </w:t>
      </w:r>
    </w:p>
    <w:p w:rsidR="00000000" w:rsidDel="00000000" w:rsidP="00000000" w:rsidRDefault="00000000" w:rsidRPr="00000000" w14:paraId="0000001A">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Партнер обязуется сообщать по электронной почте об изменении системы налогообложения, банковских реквизитов, наименований, ответственных лиц, места нахождения в течение 3 (Трех) рабочих дней с момента соответствующих изменений.</w:t>
      </w:r>
      <w:r w:rsidDel="00000000" w:rsidR="00000000" w:rsidRPr="00000000">
        <w:rPr>
          <w:rtl w:val="0"/>
        </w:rPr>
      </w:r>
    </w:p>
    <w:p w:rsidR="00000000" w:rsidDel="00000000" w:rsidP="00000000" w:rsidRDefault="00000000" w:rsidRPr="00000000" w14:paraId="0000001B">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случае возникновения у Партнера признаков или угрозы банкротства, включая подачу в арбитражный суд заявления о признании банкротом, Партнер обязан направить письменное уведомление об этом ТТЛ в течение 3 (Трех) дней с даты, когда ему стало или должно было стать известно о возникновении признаков банкротства или угрозе банкротства.</w:t>
      </w:r>
    </w:p>
    <w:p w:rsidR="00000000" w:rsidDel="00000000" w:rsidP="00000000" w:rsidRDefault="00000000" w:rsidRPr="00000000" w14:paraId="0000001C">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Каждая Сторона, с момента акцепта Договора заверяет, что является добросовестным налогоплательщиком, исполняющим в должной мере обязанности, предусмотренные налоговым законодательством РФ, включая, но не ограничиваясь: своевременное составление и предоставление контролирующим органам достоверной бухгалтерской и налоговой отчетности, не допуская искажения фактов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налогоплательщика; не допускает совершения сделок (операций), основной целью которых являются неуплата (неполная уплата) и (или) зачет (возврат) суммы налога; своевременно и в полной мере уплачивает налоговые платежи; не допускает фиктивного документооборота при отсутствии реальных хозяйственных отношений.</w:t>
      </w:r>
    </w:p>
    <w:p w:rsidR="00000000" w:rsidDel="00000000" w:rsidP="00000000" w:rsidRDefault="00000000" w:rsidRPr="00000000" w14:paraId="0000001D">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Вся предоставленная друг другу или ставшая известной информация в отношении Сторон, их третьих лиц, относящаяся, в том числе, к персональным данным, коммерческой тайне и неизвестная на законном основании получающей стороне на момент предоставления, а также не считающаяся общедоступной в соответствии с законодательством РФ, считается конфиденциальной, влечет обязанность обеспечения получившей её Стороной конфиденциальности и безопасности, и используется Сторонами исключительно в целях исполнения взятых обязательств и не подлежит разглашению без письменного разрешения Стороны, ее предоставившей. </w:t>
      </w:r>
    </w:p>
    <w:p w:rsidR="00000000" w:rsidDel="00000000" w:rsidP="00000000" w:rsidRDefault="00000000" w:rsidRPr="00000000" w14:paraId="0000001E">
      <w:pPr>
        <w:numPr>
          <w:ilvl w:val="1"/>
          <w:numId w:val="2"/>
        </w:numPr>
        <w:spacing w:after="200" w:lineRule="auto"/>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Все споры решаются путем переговоров посредством электронной почты или по почте. Стороны устанавливают срок ответа по претензии 10 (Десять) календарных дней, с момента ее получения другой Стороной. В случае недостижения согласия споры разрешаются в соответствии с законодательством РФ. </w:t>
      </w:r>
    </w:p>
    <w:p w:rsidR="00000000" w:rsidDel="00000000" w:rsidP="00000000" w:rsidRDefault="00000000" w:rsidRPr="00000000" w14:paraId="0000001F">
      <w:pPr>
        <w:pStyle w:val="Heading3"/>
        <w:numPr>
          <w:ilvl w:val="0"/>
          <w:numId w:val="2"/>
        </w:numPr>
        <w:tabs>
          <w:tab w:val="left" w:leader="none" w:pos="567"/>
        </w:tabs>
        <w:spacing w:after="0" w:before="12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РЕКВИЗИТЫ И ПОДПИСИ СТОРОН  </w:t>
      </w:r>
    </w:p>
    <w:tbl>
      <w:tblPr>
        <w:tblStyle w:val="Table1"/>
        <w:tblW w:w="9604.0" w:type="dxa"/>
        <w:jc w:val="left"/>
        <w:tblInd w:w="-149.0" w:type="dxa"/>
        <w:tblLayout w:type="fixed"/>
        <w:tblLook w:val="0000"/>
      </w:tblPr>
      <w:tblGrid>
        <w:gridCol w:w="4712"/>
        <w:gridCol w:w="4892"/>
        <w:tblGridChange w:id="0">
          <w:tblGrid>
            <w:gridCol w:w="4712"/>
            <w:gridCol w:w="4892"/>
          </w:tblGrid>
        </w:tblGridChange>
      </w:tblGrid>
      <w:tr>
        <w:trPr>
          <w:cantSplit w:val="0"/>
          <w:trHeight w:val="166" w:hRule="atLeast"/>
          <w:tblHeader w:val="0"/>
        </w:trPr>
        <w:tc>
          <w:tcPr/>
          <w:p w:rsidR="00000000" w:rsidDel="00000000" w:rsidP="00000000" w:rsidRDefault="00000000" w:rsidRPr="00000000" w14:paraId="00000020">
            <w:pPr>
              <w:pStyle w:val="Heading5"/>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ПАРТНЕР:</w:t>
            </w:r>
          </w:p>
        </w:tc>
        <w:tc>
          <w:tcPr/>
          <w:p w:rsidR="00000000" w:rsidDel="00000000" w:rsidP="00000000" w:rsidRDefault="00000000" w:rsidRPr="00000000" w14:paraId="00000021">
            <w:pPr>
              <w:ind w:left="-108" w:firstLine="108"/>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ТТЛ:</w:t>
            </w:r>
          </w:p>
        </w:tc>
      </w:tr>
      <w:tr>
        <w:trPr>
          <w:cantSplit w:val="1"/>
          <w:trHeight w:val="2895" w:hRule="atLeast"/>
          <w:tblHeader w:val="0"/>
        </w:trPr>
        <w:tc>
          <w:tcPr/>
          <w:p w:rsidR="00000000" w:rsidDel="00000000" w:rsidP="00000000" w:rsidRDefault="00000000" w:rsidRPr="00000000" w14:paraId="0000002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______________________________________</w:t>
            </w:r>
          </w:p>
          <w:p w:rsidR="00000000" w:rsidDel="00000000" w:rsidP="00000000" w:rsidRDefault="00000000" w:rsidRPr="00000000" w14:paraId="0000002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Адрес: ______________________________________</w:t>
            </w:r>
          </w:p>
          <w:p w:rsidR="00000000" w:rsidDel="00000000" w:rsidP="00000000" w:rsidRDefault="00000000" w:rsidRPr="00000000" w14:paraId="0000002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ИНН_____________________                                                                         БИК_____________________   </w:t>
            </w:r>
          </w:p>
          <w:p w:rsidR="00000000" w:rsidDel="00000000" w:rsidP="00000000" w:rsidRDefault="00000000" w:rsidRPr="00000000" w14:paraId="0000002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Банк_____________________________</w:t>
            </w:r>
          </w:p>
          <w:p w:rsidR="00000000" w:rsidDel="00000000" w:rsidP="00000000" w:rsidRDefault="00000000" w:rsidRPr="00000000" w14:paraId="0000002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р/с______________________________                                                                                                                        </w:t>
            </w:r>
          </w:p>
          <w:p w:rsidR="00000000" w:rsidDel="00000000" w:rsidP="00000000" w:rsidRDefault="00000000" w:rsidRPr="00000000" w14:paraId="0000002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к/с______________________________</w:t>
            </w:r>
          </w:p>
          <w:p w:rsidR="00000000" w:rsidDel="00000000" w:rsidP="00000000" w:rsidRDefault="00000000" w:rsidRPr="00000000" w14:paraId="0000002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Тел. +7___________________</w:t>
            </w:r>
          </w:p>
          <w:p w:rsidR="00000000" w:rsidDel="00000000" w:rsidP="00000000" w:rsidRDefault="00000000" w:rsidRPr="00000000" w14:paraId="0000002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Электронная почта: _____________________</w:t>
            </w:r>
          </w:p>
        </w:tc>
        <w:tc>
          <w:tcPr/>
          <w:p w:rsidR="00000000" w:rsidDel="00000000" w:rsidP="00000000" w:rsidRDefault="00000000" w:rsidRPr="00000000" w14:paraId="0000002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ООО «ТОЧКА-ТОЧКА ЛОГИСТИКА»</w:t>
            </w:r>
          </w:p>
          <w:p w:rsidR="00000000" w:rsidDel="00000000" w:rsidP="00000000" w:rsidRDefault="00000000" w:rsidRPr="00000000" w14:paraId="0000002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Адрес: 109428, г. Москва, Рязанский пр-кт, д. 22, к. 2, помещ. XVI, ком. 5</w:t>
            </w:r>
          </w:p>
          <w:p w:rsidR="00000000" w:rsidDel="00000000" w:rsidP="00000000" w:rsidRDefault="00000000" w:rsidRPr="00000000" w14:paraId="0000002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ИНН </w:t>
            </w:r>
            <w:r w:rsidDel="00000000" w:rsidR="00000000" w:rsidRPr="00000000">
              <w:rPr>
                <w:rFonts w:ascii="Calibri" w:cs="Calibri" w:eastAsia="Calibri" w:hAnsi="Calibri"/>
                <w:b w:val="1"/>
                <w:sz w:val="22"/>
                <w:szCs w:val="22"/>
                <w:rtl w:val="0"/>
              </w:rPr>
              <w:t xml:space="preserve">9721084356</w:t>
            </w:r>
            <w:r w:rsidDel="00000000" w:rsidR="00000000" w:rsidRPr="00000000">
              <w:rPr>
                <w:rtl w:val="0"/>
              </w:rPr>
            </w:r>
          </w:p>
          <w:p w:rsidR="00000000" w:rsidDel="00000000" w:rsidP="00000000" w:rsidRDefault="00000000" w:rsidRPr="00000000" w14:paraId="0000002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КПП </w:t>
            </w:r>
            <w:r w:rsidDel="00000000" w:rsidR="00000000" w:rsidRPr="00000000">
              <w:rPr>
                <w:rFonts w:ascii="Calibri" w:cs="Calibri" w:eastAsia="Calibri" w:hAnsi="Calibri"/>
                <w:b w:val="1"/>
                <w:sz w:val="22"/>
                <w:szCs w:val="22"/>
                <w:rtl w:val="0"/>
              </w:rPr>
              <w:t xml:space="preserve">772101001</w:t>
            </w:r>
            <w:r w:rsidDel="00000000" w:rsidR="00000000" w:rsidRPr="00000000">
              <w:rPr>
                <w:rFonts w:ascii="Calibri" w:cs="Calibri" w:eastAsia="Calibri" w:hAnsi="Calibri"/>
                <w:sz w:val="22"/>
                <w:szCs w:val="22"/>
                <w:rtl w:val="0"/>
              </w:rPr>
              <w:t xml:space="preserve">                                                                         БИК </w:t>
            </w:r>
            <w:r w:rsidDel="00000000" w:rsidR="00000000" w:rsidRPr="00000000">
              <w:rPr>
                <w:rFonts w:ascii="Calibri" w:cs="Calibri" w:eastAsia="Calibri" w:hAnsi="Calibri"/>
                <w:b w:val="1"/>
                <w:sz w:val="22"/>
                <w:szCs w:val="22"/>
                <w:rtl w:val="0"/>
              </w:rPr>
              <w:t xml:space="preserve">044525593</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2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Банк </w:t>
            </w:r>
            <w:r w:rsidDel="00000000" w:rsidR="00000000" w:rsidRPr="00000000">
              <w:rPr>
                <w:rFonts w:ascii="Calibri" w:cs="Calibri" w:eastAsia="Calibri" w:hAnsi="Calibri"/>
                <w:b w:val="1"/>
                <w:sz w:val="22"/>
                <w:szCs w:val="22"/>
                <w:rtl w:val="0"/>
              </w:rPr>
              <w:t xml:space="preserve">АО "АЛЬФА-БАНК"</w:t>
            </w:r>
            <w:r w:rsidDel="00000000" w:rsidR="00000000" w:rsidRPr="00000000">
              <w:rPr>
                <w:rtl w:val="0"/>
              </w:rPr>
            </w:r>
          </w:p>
          <w:p w:rsidR="00000000" w:rsidDel="00000000" w:rsidP="00000000" w:rsidRDefault="00000000" w:rsidRPr="00000000" w14:paraId="0000002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р/с </w:t>
            </w:r>
            <w:r w:rsidDel="00000000" w:rsidR="00000000" w:rsidRPr="00000000">
              <w:rPr>
                <w:rFonts w:ascii="Calibri" w:cs="Calibri" w:eastAsia="Calibri" w:hAnsi="Calibri"/>
                <w:b w:val="1"/>
                <w:sz w:val="22"/>
                <w:szCs w:val="22"/>
                <w:rtl w:val="0"/>
              </w:rPr>
              <w:t xml:space="preserve">40702810201020000170</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к/с </w:t>
            </w:r>
            <w:r w:rsidDel="00000000" w:rsidR="00000000" w:rsidRPr="00000000">
              <w:rPr>
                <w:rFonts w:ascii="Calibri" w:cs="Calibri" w:eastAsia="Calibri" w:hAnsi="Calibri"/>
                <w:b w:val="1"/>
                <w:sz w:val="22"/>
                <w:szCs w:val="22"/>
                <w:rtl w:val="0"/>
              </w:rPr>
              <w:t xml:space="preserve">30101810200000000593</w:t>
            </w:r>
            <w:r w:rsidDel="00000000" w:rsidR="00000000" w:rsidRPr="00000000">
              <w:rPr>
                <w:rtl w:val="0"/>
              </w:rPr>
            </w:r>
          </w:p>
          <w:p w:rsidR="00000000" w:rsidDel="00000000" w:rsidP="00000000" w:rsidRDefault="00000000" w:rsidRPr="00000000" w14:paraId="00000031">
            <w:pPr>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Электронная почта: </w:t>
            </w:r>
            <w:r w:rsidDel="00000000" w:rsidR="00000000" w:rsidRPr="00000000">
              <w:rPr>
                <w:rFonts w:ascii="Calibri" w:cs="Calibri" w:eastAsia="Calibri" w:hAnsi="Calibri"/>
                <w:b w:val="1"/>
                <w:sz w:val="22"/>
                <w:szCs w:val="22"/>
                <w:rtl w:val="0"/>
              </w:rPr>
              <w:t xml:space="preserve">с доменного имени @dot-dot.ru</w:t>
            </w:r>
          </w:p>
        </w:tc>
      </w:tr>
    </w:tbl>
    <w:p w:rsidR="00000000" w:rsidDel="00000000" w:rsidP="00000000" w:rsidRDefault="00000000" w:rsidRPr="00000000" w14:paraId="00000032">
      <w:pPr>
        <w:rPr>
          <w:rFonts w:ascii="Calibri" w:cs="Calibri" w:eastAsia="Calibri" w:hAnsi="Calibri"/>
          <w:b w:val="1"/>
          <w:smallCaps w:val="1"/>
          <w:sz w:val="22"/>
          <w:szCs w:val="22"/>
        </w:rPr>
      </w:pPr>
      <w:r w:rsidDel="00000000" w:rsidR="00000000" w:rsidRPr="00000000">
        <w:rPr>
          <w:rtl w:val="0"/>
        </w:rPr>
      </w:r>
    </w:p>
    <w:tbl>
      <w:tblPr>
        <w:tblStyle w:val="Table2"/>
        <w:tblW w:w="9608.0" w:type="dxa"/>
        <w:jc w:val="left"/>
        <w:tblInd w:w="-115.0" w:type="dxa"/>
        <w:tblLayout w:type="fixed"/>
        <w:tblLook w:val="0000"/>
      </w:tblPr>
      <w:tblGrid>
        <w:gridCol w:w="4678"/>
        <w:gridCol w:w="4930"/>
        <w:tblGridChange w:id="0">
          <w:tblGrid>
            <w:gridCol w:w="4678"/>
            <w:gridCol w:w="4930"/>
          </w:tblGrid>
        </w:tblGridChange>
      </w:tblGrid>
      <w:tr>
        <w:trPr>
          <w:cantSplit w:val="1"/>
          <w:trHeight w:val="275" w:hRule="atLeast"/>
          <w:tblHeader w:val="0"/>
        </w:trPr>
        <w:tc>
          <w:tcPr/>
          <w:p w:rsidR="00000000" w:rsidDel="00000000" w:rsidP="00000000" w:rsidRDefault="00000000" w:rsidRPr="00000000" w14:paraId="00000033">
            <w:pPr>
              <w:ind w:right="-108"/>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4">
            <w:pPr>
              <w:ind w:right="-108"/>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5">
            <w:pPr>
              <w:ind w:right="-108"/>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6">
            <w:pPr>
              <w:ind w:right="-108"/>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________________________/________________</w:t>
            </w:r>
            <w:r w:rsidDel="00000000" w:rsidR="00000000" w:rsidRPr="00000000">
              <w:rPr>
                <w:rtl w:val="0"/>
              </w:rPr>
            </w:r>
          </w:p>
        </w:tc>
        <w:tc>
          <w:tcPr/>
          <w:p w:rsidR="00000000" w:rsidDel="00000000" w:rsidP="00000000" w:rsidRDefault="00000000" w:rsidRPr="00000000" w14:paraId="00000037">
            <w:pPr>
              <w:ind w:right="-28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Генеральный директор ООО "ТОЧКА-ТОЧКА" - Управляющего ООО "ТОЧКА-ТОЧКА ЛОГИСТИКА"</w:t>
            </w:r>
          </w:p>
          <w:p w:rsidR="00000000" w:rsidDel="00000000" w:rsidP="00000000" w:rsidRDefault="00000000" w:rsidRPr="00000000" w14:paraId="00000038">
            <w:pPr>
              <w:ind w:right="-28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9">
            <w:pPr>
              <w:ind w:right="-1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  А.В. Марчук</w:t>
            </w:r>
          </w:p>
        </w:tc>
      </w:tr>
    </w:tbl>
    <w:p w:rsidR="00000000" w:rsidDel="00000000" w:rsidP="00000000" w:rsidRDefault="00000000" w:rsidRPr="00000000" w14:paraId="0000003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br w:type="textWrapping"/>
        <w:br w:type="textWrapping"/>
        <w:br w:type="textWrapping"/>
        <w:br w:type="textWrapping"/>
        <w:br w:type="textWrapping"/>
      </w:r>
    </w:p>
    <w:sectPr>
      <w:pgSz w:h="16838" w:w="11906" w:orient="portrait"/>
      <w:pgMar w:bottom="567" w:top="567" w:left="170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Times New Roman"/>
  <w:font w:name="Georgia"/>
  <w:font w:name="Calibri"/>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i w:val="0"/>
        <w:u w:val="none"/>
      </w:rPr>
    </w:lvl>
    <w:lvl w:ilvl="3">
      <w:start w:val="1"/>
      <w:numFmt w:val="bullet"/>
      <w:lvlText w:val="●"/>
      <w:lvlJc w:val="left"/>
      <w:pPr>
        <w:ind w:left="1080" w:hanging="720"/>
      </w:pPr>
      <w:rPr>
        <w:rFonts w:ascii="Noto Sans" w:cs="Noto Sans" w:eastAsia="Noto Sans" w:hAnsi="Noto Sans"/>
      </w:rPr>
    </w:lvl>
    <w:lvl w:ilvl="4">
      <w:start w:val="1"/>
      <w:numFmt w:val="decimal"/>
      <w:lvlText w:val="%1.%2.%3.●.%5."/>
      <w:lvlJc w:val="left"/>
      <w:pPr>
        <w:ind w:left="1440" w:hanging="1080"/>
      </w:pPr>
      <w:rPr/>
    </w:lvl>
    <w:lvl w:ilvl="5">
      <w:start w:val="1"/>
      <w:numFmt w:val="decimal"/>
      <w:lvlText w:val="%1.%2.%3.●.%5.%6."/>
      <w:lvlJc w:val="left"/>
      <w:pPr>
        <w:ind w:left="1440" w:hanging="1080"/>
      </w:pPr>
      <w:rPr/>
    </w:lvl>
    <w:lvl w:ilvl="6">
      <w:start w:val="1"/>
      <w:numFmt w:val="decimal"/>
      <w:lvlText w:val="%1.%2.%3.●.%5.%6.%7."/>
      <w:lvlJc w:val="left"/>
      <w:pPr>
        <w:ind w:left="1800" w:hanging="1440"/>
      </w:pPr>
      <w:rPr/>
    </w:lvl>
    <w:lvl w:ilvl="7">
      <w:start w:val="1"/>
      <w:numFmt w:val="decimal"/>
      <w:lvlText w:val="%1.%2.%3.●.%5.%6.%7.%8."/>
      <w:lvlJc w:val="left"/>
      <w:pPr>
        <w:ind w:left="1800" w:hanging="1440"/>
      </w:pPr>
      <w:rPr/>
    </w:lvl>
    <w:lvl w:ilvl="8">
      <w:start w:val="1"/>
      <w:numFmt w:val="decimal"/>
      <w:lvlText w:val="%1.%2.%3.●.%5.%6.%7.%8.%9."/>
      <w:lvlJc w:val="left"/>
      <w:pPr>
        <w:ind w:left="2160" w:hanging="180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120" w:before="180" w:lineRule="auto"/>
      <w:jc w:val="center"/>
    </w:pPr>
    <w:rPr>
      <w:rFonts w:ascii="Times New Roman" w:cs="Times New Roman" w:eastAsia="Times New Roman" w:hAnsi="Times New Roman"/>
      <w:b w:val="1"/>
      <w:smallCaps w:val="1"/>
      <w:color w:val="000000"/>
      <w:sz w:val="24"/>
      <w:szCs w:val="24"/>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spacing w:after="60" w:lineRule="auto"/>
      <w:ind w:left="60"/>
    </w:pPr>
    <w:rPr>
      <w:b w:val="1"/>
      <w:sz w:val="23"/>
      <w:szCs w:val="23"/>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C765DF"/>
  </w:style>
  <w:style w:type="paragraph" w:styleId="1">
    <w:name w:val="heading 1"/>
    <w:basedOn w:val="a"/>
    <w:next w:val="a"/>
    <w:uiPriority w:val="9"/>
    <w:qFormat w:val="1"/>
    <w:pPr>
      <w:keepNext w:val="1"/>
      <w:keepLines w:val="1"/>
      <w:spacing w:after="120" w:before="480"/>
      <w:outlineLvl w:val="0"/>
    </w:pPr>
    <w:rPr>
      <w:b w:val="1"/>
      <w:sz w:val="48"/>
      <w:szCs w:val="48"/>
    </w:rPr>
  </w:style>
  <w:style w:type="paragraph" w:styleId="2">
    <w:name w:val="heading 2"/>
    <w:basedOn w:val="a"/>
    <w:next w:val="a"/>
    <w:link w:val="20"/>
    <w:uiPriority w:val="9"/>
    <w:unhideWhenUsed w:val="1"/>
    <w:qFormat w:val="1"/>
    <w:rsid w:val="001F7709"/>
    <w:pPr>
      <w:keepNext w:val="1"/>
      <w:keepLines w:val="1"/>
      <w:spacing w:before="200"/>
      <w:outlineLvl w:val="1"/>
    </w:pPr>
    <w:rPr>
      <w:rFonts w:asciiTheme="majorHAnsi" w:cstheme="majorBidi" w:eastAsiaTheme="majorEastAsia" w:hAnsiTheme="majorHAnsi"/>
      <w:b w:val="1"/>
      <w:bCs w:val="1"/>
      <w:color w:val="4f81bd" w:themeColor="accent1"/>
      <w:sz w:val="26"/>
      <w:szCs w:val="26"/>
    </w:rPr>
  </w:style>
  <w:style w:type="paragraph" w:styleId="3">
    <w:name w:val="heading 3"/>
    <w:basedOn w:val="2"/>
    <w:next w:val="a"/>
    <w:link w:val="30"/>
    <w:uiPriority w:val="9"/>
    <w:unhideWhenUsed w:val="1"/>
    <w:qFormat w:val="1"/>
    <w:rsid w:val="001F7709"/>
    <w:pPr>
      <w:spacing w:after="120" w:before="180"/>
      <w:jc w:val="center"/>
      <w:outlineLvl w:val="2"/>
    </w:pPr>
    <w:rPr>
      <w:rFonts w:ascii="Times New Roman" w:cs="Arial" w:eastAsia="Times New Roman" w:hAnsi="Times New Roman"/>
      <w:bCs w:val="0"/>
      <w:iCs w:val="1"/>
      <w:caps w:val="1"/>
      <w:color w:val="auto"/>
      <w:sz w:val="24"/>
    </w:rPr>
  </w:style>
  <w:style w:type="paragraph" w:styleId="4">
    <w:name w:val="heading 4"/>
    <w:basedOn w:val="a"/>
    <w:next w:val="a"/>
    <w:uiPriority w:val="9"/>
    <w:unhideWhenUsed w:val="1"/>
    <w:qFormat w:val="1"/>
    <w:pPr>
      <w:keepNext w:val="1"/>
      <w:keepLines w:val="1"/>
      <w:spacing w:after="40" w:before="240"/>
      <w:outlineLvl w:val="3"/>
    </w:pPr>
    <w:rPr>
      <w:b w:val="1"/>
    </w:rPr>
  </w:style>
  <w:style w:type="paragraph" w:styleId="5">
    <w:name w:val="heading 5"/>
    <w:basedOn w:val="a"/>
    <w:next w:val="a"/>
    <w:link w:val="50"/>
    <w:uiPriority w:val="9"/>
    <w:unhideWhenUsed w:val="1"/>
    <w:qFormat w:val="1"/>
    <w:rsid w:val="001F7709"/>
    <w:pPr>
      <w:keepNext w:val="1"/>
      <w:spacing w:after="60"/>
      <w:ind w:left="60"/>
      <w:outlineLvl w:val="4"/>
    </w:pPr>
    <w:rPr>
      <w:b w:val="1"/>
      <w:bCs w:val="1"/>
      <w:sz w:val="23"/>
    </w:rPr>
  </w:style>
  <w:style w:type="paragraph" w:styleId="6">
    <w:name w:val="heading 6"/>
    <w:basedOn w:val="a"/>
    <w:next w:val="a"/>
    <w:uiPriority w:val="9"/>
    <w:semiHidden w:val="1"/>
    <w:unhideWhenUsed w:val="1"/>
    <w:qFormat w:val="1"/>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a4">
    <w:name w:val="List Paragraph"/>
    <w:basedOn w:val="a"/>
    <w:uiPriority w:val="34"/>
    <w:qFormat w:val="1"/>
    <w:rsid w:val="00C765DF"/>
    <w:pPr>
      <w:ind w:left="720"/>
      <w:contextualSpacing w:val="1"/>
    </w:pPr>
  </w:style>
  <w:style w:type="character" w:styleId="30" w:customStyle="1">
    <w:name w:val="Заголовок 3 Знак"/>
    <w:basedOn w:val="a0"/>
    <w:link w:val="3"/>
    <w:rsid w:val="001F7709"/>
    <w:rPr>
      <w:rFonts w:ascii="Times New Roman" w:cs="Arial" w:eastAsia="Times New Roman" w:hAnsi="Times New Roman"/>
      <w:b w:val="1"/>
      <w:iCs w:val="1"/>
      <w:caps w:val="1"/>
      <w:sz w:val="24"/>
      <w:szCs w:val="26"/>
      <w:lang w:eastAsia="ru-RU"/>
    </w:rPr>
  </w:style>
  <w:style w:type="character" w:styleId="50" w:customStyle="1">
    <w:name w:val="Заголовок 5 Знак"/>
    <w:basedOn w:val="a0"/>
    <w:link w:val="5"/>
    <w:rsid w:val="001F7709"/>
    <w:rPr>
      <w:rFonts w:ascii="Times New Roman" w:cs="Times New Roman" w:eastAsia="Times New Roman" w:hAnsi="Times New Roman"/>
      <w:b w:val="1"/>
      <w:bCs w:val="1"/>
      <w:sz w:val="23"/>
      <w:szCs w:val="24"/>
      <w:lang w:eastAsia="ru-RU"/>
    </w:rPr>
  </w:style>
  <w:style w:type="paragraph" w:styleId="a5">
    <w:name w:val="Body Text"/>
    <w:basedOn w:val="a"/>
    <w:link w:val="a6"/>
    <w:rsid w:val="001F7709"/>
    <w:pPr>
      <w:jc w:val="both"/>
    </w:pPr>
    <w:rPr>
      <w:rFonts w:ascii="Courier New" w:cs="Courier New" w:hAnsi="Courier New"/>
      <w:sz w:val="20"/>
    </w:rPr>
  </w:style>
  <w:style w:type="character" w:styleId="a6" w:customStyle="1">
    <w:name w:val="Основной текст Знак"/>
    <w:basedOn w:val="a0"/>
    <w:link w:val="a5"/>
    <w:rsid w:val="001F7709"/>
    <w:rPr>
      <w:rFonts w:ascii="Courier New" w:cs="Courier New" w:eastAsia="Times New Roman" w:hAnsi="Courier New"/>
      <w:sz w:val="20"/>
      <w:szCs w:val="24"/>
      <w:lang w:eastAsia="ru-RU"/>
    </w:rPr>
  </w:style>
  <w:style w:type="paragraph" w:styleId="21">
    <w:name w:val="Body Text Indent 2"/>
    <w:basedOn w:val="a"/>
    <w:link w:val="22"/>
    <w:rsid w:val="001F7709"/>
    <w:pPr>
      <w:tabs>
        <w:tab w:val="left" w:pos="480"/>
      </w:tabs>
      <w:spacing w:after="60"/>
      <w:ind w:left="480" w:hanging="480"/>
      <w:jc w:val="both"/>
    </w:pPr>
    <w:rPr>
      <w:sz w:val="20"/>
    </w:rPr>
  </w:style>
  <w:style w:type="character" w:styleId="22" w:customStyle="1">
    <w:name w:val="Основной текст с отступом 2 Знак"/>
    <w:basedOn w:val="a0"/>
    <w:link w:val="21"/>
    <w:rsid w:val="001F7709"/>
    <w:rPr>
      <w:rFonts w:ascii="Times New Roman" w:cs="Times New Roman" w:eastAsia="Times New Roman" w:hAnsi="Times New Roman"/>
      <w:sz w:val="20"/>
      <w:szCs w:val="24"/>
      <w:lang w:eastAsia="ru-RU"/>
    </w:rPr>
  </w:style>
  <w:style w:type="paragraph" w:styleId="31">
    <w:name w:val="Body Text Indent 3"/>
    <w:basedOn w:val="a"/>
    <w:link w:val="32"/>
    <w:rsid w:val="001F7709"/>
    <w:pPr>
      <w:spacing w:after="60" w:line="360" w:lineRule="auto"/>
      <w:ind w:firstLine="708"/>
      <w:jc w:val="both"/>
    </w:pPr>
    <w:rPr>
      <w:sz w:val="20"/>
    </w:rPr>
  </w:style>
  <w:style w:type="character" w:styleId="32" w:customStyle="1">
    <w:name w:val="Основной текст с отступом 3 Знак"/>
    <w:basedOn w:val="a0"/>
    <w:link w:val="31"/>
    <w:rsid w:val="001F7709"/>
    <w:rPr>
      <w:rFonts w:ascii="Times New Roman" w:cs="Times New Roman" w:eastAsia="Times New Roman" w:hAnsi="Times New Roman"/>
      <w:sz w:val="20"/>
      <w:szCs w:val="24"/>
      <w:lang w:eastAsia="ru-RU"/>
    </w:rPr>
  </w:style>
  <w:style w:type="paragraph" w:styleId="a7">
    <w:name w:val="footer"/>
    <w:basedOn w:val="a"/>
    <w:link w:val="a8"/>
    <w:rsid w:val="001F7709"/>
    <w:pPr>
      <w:tabs>
        <w:tab w:val="center" w:pos="4677"/>
        <w:tab w:val="right" w:pos="9355"/>
      </w:tabs>
      <w:spacing w:after="60"/>
      <w:jc w:val="both"/>
    </w:pPr>
  </w:style>
  <w:style w:type="character" w:styleId="a8" w:customStyle="1">
    <w:name w:val="Нижний колонтитул Знак"/>
    <w:basedOn w:val="a0"/>
    <w:link w:val="a7"/>
    <w:rsid w:val="001F7709"/>
    <w:rPr>
      <w:rFonts w:ascii="Times New Roman" w:cs="Times New Roman" w:eastAsia="Times New Roman" w:hAnsi="Times New Roman"/>
      <w:sz w:val="24"/>
      <w:szCs w:val="24"/>
      <w:lang w:eastAsia="ru-RU"/>
    </w:rPr>
  </w:style>
  <w:style w:type="character" w:styleId="20" w:customStyle="1">
    <w:name w:val="Заголовок 2 Знак"/>
    <w:basedOn w:val="a0"/>
    <w:link w:val="2"/>
    <w:uiPriority w:val="9"/>
    <w:semiHidden w:val="1"/>
    <w:rsid w:val="001F7709"/>
    <w:rPr>
      <w:rFonts w:asciiTheme="majorHAnsi" w:cstheme="majorBidi" w:eastAsiaTheme="majorEastAsia" w:hAnsiTheme="majorHAnsi"/>
      <w:b w:val="1"/>
      <w:bCs w:val="1"/>
      <w:color w:val="4f81bd" w:themeColor="accent1"/>
      <w:sz w:val="26"/>
      <w:szCs w:val="26"/>
      <w:lang w:eastAsia="ru-RU"/>
    </w:rPr>
  </w:style>
  <w:style w:type="paragraph" w:styleId="a9">
    <w:name w:val="annotation text"/>
    <w:basedOn w:val="a"/>
    <w:link w:val="aa"/>
    <w:unhideWhenUsed w:val="1"/>
    <w:rsid w:val="00A85F08"/>
    <w:pPr>
      <w:spacing w:after="200" w:line="276" w:lineRule="auto"/>
    </w:pPr>
    <w:rPr>
      <w:rFonts w:ascii="Calibri" w:eastAsia="Calibri" w:hAnsi="Calibri"/>
      <w:sz w:val="20"/>
      <w:szCs w:val="20"/>
      <w:lang w:eastAsia="en-US"/>
    </w:rPr>
  </w:style>
  <w:style w:type="character" w:styleId="aa" w:customStyle="1">
    <w:name w:val="Текст примечания Знак"/>
    <w:basedOn w:val="a0"/>
    <w:link w:val="a9"/>
    <w:rsid w:val="00A85F08"/>
    <w:rPr>
      <w:rFonts w:ascii="Calibri" w:cs="Times New Roman" w:eastAsia="Calibri" w:hAnsi="Calibri"/>
      <w:sz w:val="20"/>
      <w:szCs w:val="20"/>
    </w:rPr>
  </w:style>
  <w:style w:type="character" w:styleId="ab">
    <w:name w:val="annotation reference"/>
    <w:basedOn w:val="a0"/>
    <w:uiPriority w:val="99"/>
    <w:semiHidden w:val="1"/>
    <w:unhideWhenUsed w:val="1"/>
    <w:rsid w:val="00A85F08"/>
    <w:rPr>
      <w:sz w:val="16"/>
      <w:szCs w:val="16"/>
    </w:rPr>
  </w:style>
  <w:style w:type="paragraph" w:styleId="ac">
    <w:name w:val="annotation subject"/>
    <w:basedOn w:val="a9"/>
    <w:next w:val="a9"/>
    <w:link w:val="ad"/>
    <w:uiPriority w:val="99"/>
    <w:semiHidden w:val="1"/>
    <w:unhideWhenUsed w:val="1"/>
    <w:rsid w:val="00A85F08"/>
    <w:pPr>
      <w:spacing w:after="0" w:line="240" w:lineRule="auto"/>
    </w:pPr>
    <w:rPr>
      <w:rFonts w:ascii="Times New Roman" w:eastAsia="Times New Roman" w:hAnsi="Times New Roman"/>
      <w:b w:val="1"/>
      <w:bCs w:val="1"/>
      <w:lang w:eastAsia="ru-RU"/>
    </w:rPr>
  </w:style>
  <w:style w:type="character" w:styleId="ad" w:customStyle="1">
    <w:name w:val="Тема примечания Знак"/>
    <w:basedOn w:val="aa"/>
    <w:link w:val="ac"/>
    <w:uiPriority w:val="99"/>
    <w:semiHidden w:val="1"/>
    <w:rsid w:val="00A85F08"/>
    <w:rPr>
      <w:rFonts w:ascii="Times New Roman" w:cs="Times New Roman" w:eastAsia="Times New Roman" w:hAnsi="Times New Roman"/>
      <w:b w:val="1"/>
      <w:bCs w:val="1"/>
      <w:sz w:val="20"/>
      <w:szCs w:val="20"/>
      <w:lang w:eastAsia="ru-RU"/>
    </w:rPr>
  </w:style>
  <w:style w:type="paragraph" w:styleId="ae">
    <w:name w:val="Balloon Text"/>
    <w:basedOn w:val="a"/>
    <w:link w:val="af"/>
    <w:uiPriority w:val="99"/>
    <w:semiHidden w:val="1"/>
    <w:unhideWhenUsed w:val="1"/>
    <w:rsid w:val="00A85F08"/>
    <w:rPr>
      <w:rFonts w:ascii="Tahoma" w:cs="Tahoma" w:hAnsi="Tahoma"/>
      <w:sz w:val="16"/>
      <w:szCs w:val="16"/>
    </w:rPr>
  </w:style>
  <w:style w:type="character" w:styleId="af" w:customStyle="1">
    <w:name w:val="Текст выноски Знак"/>
    <w:basedOn w:val="a0"/>
    <w:link w:val="ae"/>
    <w:uiPriority w:val="99"/>
    <w:semiHidden w:val="1"/>
    <w:rsid w:val="00A85F08"/>
    <w:rPr>
      <w:rFonts w:ascii="Tahoma" w:cs="Tahoma" w:eastAsia="Times New Roman" w:hAnsi="Tahoma"/>
      <w:sz w:val="16"/>
      <w:szCs w:val="16"/>
      <w:lang w:eastAsia="ru-RU"/>
    </w:rPr>
  </w:style>
  <w:style w:type="table" w:styleId="af0">
    <w:name w:val="Table Grid"/>
    <w:basedOn w:val="a1"/>
    <w:uiPriority w:val="59"/>
    <w:rsid w:val="00D914B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f1">
    <w:name w:val="header"/>
    <w:basedOn w:val="a"/>
    <w:link w:val="af2"/>
    <w:rsid w:val="00796774"/>
    <w:pPr>
      <w:tabs>
        <w:tab w:val="center" w:pos="4677"/>
        <w:tab w:val="right" w:pos="9355"/>
      </w:tabs>
    </w:pPr>
  </w:style>
  <w:style w:type="character" w:styleId="af2" w:customStyle="1">
    <w:name w:val="Верхний колонтитул Знак"/>
    <w:basedOn w:val="a0"/>
    <w:link w:val="af1"/>
    <w:rsid w:val="00796774"/>
    <w:rPr>
      <w:rFonts w:ascii="Times New Roman" w:cs="Times New Roman" w:eastAsia="Times New Roman" w:hAnsi="Times New Roman"/>
      <w:sz w:val="24"/>
      <w:szCs w:val="24"/>
      <w:lang w:eastAsia="ru-RU"/>
    </w:rPr>
  </w:style>
  <w:style w:type="paragraph" w:styleId="af3">
    <w:name w:val="Revision"/>
    <w:hidden w:val="1"/>
    <w:uiPriority w:val="99"/>
    <w:semiHidden w:val="1"/>
    <w:rsid w:val="000A06DE"/>
  </w:style>
  <w:style w:type="paragraph" w:styleId="af4">
    <w:name w:val="footnote text"/>
    <w:basedOn w:val="a"/>
    <w:link w:val="af5"/>
    <w:uiPriority w:val="99"/>
    <w:semiHidden w:val="1"/>
    <w:unhideWhenUsed w:val="1"/>
    <w:rsid w:val="006523E4"/>
    <w:rPr>
      <w:sz w:val="20"/>
      <w:szCs w:val="20"/>
    </w:rPr>
  </w:style>
  <w:style w:type="character" w:styleId="af5" w:customStyle="1">
    <w:name w:val="Текст сноски Знак"/>
    <w:basedOn w:val="a0"/>
    <w:link w:val="af4"/>
    <w:uiPriority w:val="99"/>
    <w:semiHidden w:val="1"/>
    <w:rsid w:val="006523E4"/>
    <w:rPr>
      <w:rFonts w:ascii="Times New Roman" w:cs="Times New Roman" w:eastAsia="Times New Roman" w:hAnsi="Times New Roman"/>
      <w:sz w:val="20"/>
      <w:szCs w:val="20"/>
      <w:lang w:eastAsia="ru-RU"/>
    </w:rPr>
  </w:style>
  <w:style w:type="character" w:styleId="af6">
    <w:name w:val="footnote reference"/>
    <w:basedOn w:val="a0"/>
    <w:uiPriority w:val="99"/>
    <w:semiHidden w:val="1"/>
    <w:unhideWhenUsed w:val="1"/>
    <w:rsid w:val="006523E4"/>
    <w:rPr>
      <w:vertAlign w:val="superscript"/>
    </w:rPr>
  </w:style>
  <w:style w:type="paragraph" w:styleId="af7">
    <w:name w:val="Body Text Indent"/>
    <w:basedOn w:val="a"/>
    <w:link w:val="af8"/>
    <w:uiPriority w:val="99"/>
    <w:semiHidden w:val="1"/>
    <w:unhideWhenUsed w:val="1"/>
    <w:rsid w:val="00780A2D"/>
    <w:pPr>
      <w:spacing w:after="120"/>
      <w:ind w:left="283"/>
    </w:pPr>
  </w:style>
  <w:style w:type="character" w:styleId="af8" w:customStyle="1">
    <w:name w:val="Основной текст с отступом Знак"/>
    <w:basedOn w:val="a0"/>
    <w:link w:val="af7"/>
    <w:uiPriority w:val="99"/>
    <w:semiHidden w:val="1"/>
    <w:rsid w:val="00780A2D"/>
    <w:rPr>
      <w:rFonts w:ascii="Times New Roman" w:cs="Times New Roman" w:eastAsia="Times New Roman" w:hAnsi="Times New Roman"/>
      <w:sz w:val="24"/>
      <w:szCs w:val="24"/>
      <w:lang w:eastAsia="ru-RU"/>
    </w:rPr>
  </w:style>
  <w:style w:type="paragraph" w:styleId="10" w:customStyle="1">
    <w:name w:val="Знак1"/>
    <w:basedOn w:val="a"/>
    <w:rsid w:val="00780A2D"/>
    <w:pPr>
      <w:spacing w:after="100" w:afterAutospacing="1" w:before="100" w:beforeAutospacing="1"/>
    </w:pPr>
    <w:rPr>
      <w:rFonts w:ascii="Tahoma" w:hAnsi="Tahoma"/>
      <w:sz w:val="20"/>
      <w:szCs w:val="20"/>
      <w:lang w:eastAsia="en-US" w:val="en-US"/>
    </w:rPr>
  </w:style>
  <w:style w:type="paragraph" w:styleId="Comm10" w:customStyle="1">
    <w:name w:val="Comm10"/>
    <w:basedOn w:val="a"/>
    <w:rsid w:val="001D1D8A"/>
    <w:pPr>
      <w:autoSpaceDE w:val="0"/>
      <w:autoSpaceDN w:val="0"/>
    </w:pPr>
    <w:rPr>
      <w:sz w:val="20"/>
      <w:szCs w:val="20"/>
    </w:rPr>
  </w:style>
  <w:style w:type="character" w:styleId="af9">
    <w:name w:val="Hyperlink"/>
    <w:basedOn w:val="a0"/>
    <w:uiPriority w:val="99"/>
    <w:unhideWhenUsed w:val="1"/>
    <w:rsid w:val="001F0784"/>
    <w:rPr>
      <w:color w:val="0000ff" w:themeColor="hyperlink"/>
      <w:u w:val="single"/>
    </w:rPr>
  </w:style>
  <w:style w:type="character" w:styleId="afa">
    <w:name w:val="FollowedHyperlink"/>
    <w:basedOn w:val="a0"/>
    <w:uiPriority w:val="99"/>
    <w:semiHidden w:val="1"/>
    <w:unhideWhenUsed w:val="1"/>
    <w:rsid w:val="00177F15"/>
    <w:rPr>
      <w:color w:val="800080" w:themeColor="followedHyperlink"/>
      <w:u w:val="single"/>
    </w:rPr>
  </w:style>
  <w:style w:type="character" w:styleId="afb">
    <w:name w:val="Unresolved Mention"/>
    <w:basedOn w:val="a0"/>
    <w:uiPriority w:val="99"/>
    <w:semiHidden w:val="1"/>
    <w:unhideWhenUsed w:val="1"/>
    <w:rsid w:val="00177F15"/>
    <w:rPr>
      <w:color w:val="605e5c"/>
      <w:shd w:color="auto" w:fill="e1dfdd" w:val="clear"/>
    </w:rPr>
  </w:style>
  <w:style w:type="paragraph" w:styleId="afc">
    <w:name w:val="Subtitle"/>
    <w:basedOn w:val="a"/>
    <w:next w:val="a"/>
    <w:uiPriority w:val="11"/>
    <w:qFormat w:val="1"/>
    <w:pPr>
      <w:keepNext w:val="1"/>
      <w:keepLines w:val="1"/>
      <w:spacing w:after="80" w:before="360"/>
    </w:pPr>
    <w:rPr>
      <w:rFonts w:ascii="Georgia" w:cs="Georgia" w:eastAsia="Georgia" w:hAnsi="Georgia"/>
      <w:i w:val="1"/>
      <w:color w:val="666666"/>
      <w:sz w:val="48"/>
      <w:szCs w:val="48"/>
    </w:rPr>
  </w:style>
  <w:style w:type="table" w:styleId="afd" w:customStyle="1">
    <w:basedOn w:val="TableNormal0"/>
    <w:tblPr>
      <w:tblStyleRowBandSize w:val="1"/>
      <w:tblStyleColBandSize w:val="1"/>
      <w:tblCellMar>
        <w:left w:w="115.0" w:type="dxa"/>
        <w:right w:w="115.0" w:type="dxa"/>
      </w:tblCellMar>
    </w:tblPr>
  </w:style>
  <w:style w:type="table" w:styleId="afe" w:customStyle="1">
    <w:basedOn w:val="TableNormal0"/>
    <w:tblPr>
      <w:tblStyleRowBandSize w:val="1"/>
      <w:tblStyleColBandSize w:val="1"/>
      <w:tblCellMar>
        <w:left w:w="115.0" w:type="dxa"/>
        <w:right w:w="115.0" w:type="dxa"/>
      </w:tblCellMar>
    </w:tblPr>
  </w:style>
  <w:style w:type="table" w:styleId="aff" w:customStyle="1">
    <w:basedOn w:val="TableNormal0"/>
    <w:tblPr>
      <w:tblStyleRowBandSize w:val="1"/>
      <w:tblStyleColBandSize w:val="1"/>
      <w:tblCellMar>
        <w:left w:w="115.0" w:type="dxa"/>
        <w:right w:w="115.0" w:type="dxa"/>
      </w:tblCellMar>
    </w:tblPr>
  </w:style>
  <w:style w:type="table" w:styleId="aff0"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YMVMw6iNIrzXPgC9ISJtA9ggFAA==">AMUW2mXf155OKEKmbQGMlzUTgSdRqcsHof5ZKQwHQsjsYR4RL4Q5pBm+yMnq2/ihiPF2cMflJ4v78d8G3ZB5xlMUnMjxXneMo7QAXYa/2LG2EkkA3O6ZkEYMLxT70bW+Wu7FqN0HMB+Dk8NJ9ANpcccB54iFZBteQAhsH/BV0L6bqg58/ELT5BOH0R2nHIUth+UVzRb7J+5iiSvcdDgvEXTH8S/nGhbDbhwU/3za3m61CMLkDf24Z0ozo9B+tPsCIniW7xG57pU2Fp/4IGYgeTpEhyl2Yz8jriTmy7C/YIzNRYquw0lWopjV747U7s38J1AtNz44e56NLGi7ewbDl2IpPltNbzZNk1zFqzLbnF6lR3Ynnf/Vkv6DGDZGsqpG7n+xtklFyw60VsSUg7CF0gawXCDWoip/tKOOCi+xG2P/8n8mIIo2FODYyoSmQiayTJfxnRli8aG12kmNEBBmu54MgKb1bPpq9/rX78OaJ8PNjRqvKgI302gLEIWV509cgMcMwe/y98V0yhIS7OU9r0YxkZxcxP2RyA1u/tEgdHkE9T5OIXYbeWSQHcoNHTpoRaqlgQCMGD8FIOHKH2GXl7QVZZN8pGxw8HPnbbBnhYhYyBCIyNYht51QQqMKZ2MVudZvXRh48brfZ8JR+QvzDXii6jr/FTR+S6Y92QQJBxbuLl3EpPItKfIq/WjAW1i3NoKa/jwcFHznaRzJylFlIJFLYFc0zFTEN3M7QatYs3OE1x8cj2BkBiefyZMpNXwtzqL3OLzZEso5A6Pxh4PkKvwiohwBi1JcWWMWDKw+wyB2go2bXW+3Whq2n/2NvhkozsW+NIifGiyKEyd2eTo2vZ8QFnUS46lO4tqZFz+6gQRQbYpV3ZurxDSOs6f0utskOt0bigIVODxb0bOogsFLVND3uLM9OnuKpKVFJ/5n8glaPvv5/3kO4d+4IY/sRzgG8QXyeq3fdW3uIyV+pIJ9G3/2vn25lUj0dkRpzqSLbDsZNomilEmJnQZ3IGtzeKj2Kc2xpv+8DaGIMoCJdYnblG9X22wClL0/S0FebQjmBPfG3IUo6GmQyObH3r3Tr0hWiztMW+tMuRWm2DWRk0rXBYm5bFjplRuPRtSlFkozrv2QI0UKjmiCnB7bEfNelcdYT3n88BUGLVo3IJENC0uch5XioBR1vpmumjKwQsQl3ButJXLYFewZ/KsH+8VJRYGvBiGVsRawW422aolIZPzjS4eM96cUPFjAbfWFG4x4J9aw5H5szCNQuw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2023-03-06T11:35:00Z</dcterms:created>
  <dc:creator>nminyaev</dc:creator>
</cp:coreProperties>
</file>